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43BD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18B5497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09392822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0C55CD1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E86AE2B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6FD4855B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70CD6D0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299D2FC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23FFD30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BE10D01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3BCAEDD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88D236A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99445CA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8463DA2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Реферат</w:t>
      </w:r>
    </w:p>
    <w:p w14:paraId="49B75561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Косвенное действие ионизирующего излучения на биологические объекты по средству воды</w:t>
      </w:r>
    </w:p>
    <w:p w14:paraId="195348CD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2B1C9CCB" w14:textId="77777777" w:rsidR="00000000" w:rsidRDefault="00EE1CF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 w:type="page"/>
      </w:r>
    </w:p>
    <w:p w14:paraId="03B7D3B1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Введение</w:t>
      </w:r>
    </w:p>
    <w:p w14:paraId="3E40ECC4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радиолиз радикал диабет сердечнососудистый</w:t>
      </w:r>
    </w:p>
    <w:p w14:paraId="5BC7EF45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Радиационная химия воды и водных растворов как наука возникла в ответ на потребность атомной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ромышленности (на первых стадиях развития военной промышленности) знать, что происходит при действии излучения с теплоносителями ядерных реакторов и с водными растворами - реагентами в технологии выделения делящихся материалов из облученного ядерного топли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ва.</w:t>
      </w:r>
    </w:p>
    <w:p w14:paraId="203322A1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Первые систематические экспериментальные исследования радиолиза воды были выполнены в США в середине 40-х годов группами А.О. Аллена и E. Дж. Харта. В нашей стране первые работы по радиационной химии воды были проведены в конце 40-х - начале 50-х годов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Институте физической химии АН СССР (впоследствии, в Институте электрохимии АН СССР) и в Институте теоретической и экспериментальной физики (тогда ТТЛ АН СССР, т.е. «Теплотехнической лаборатории АН СССР» группами Н.А. Бах - В.А. Медведовского и Б.В. Эршл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ера - П.И. Долина.</w:t>
      </w:r>
    </w:p>
    <w:p w14:paraId="64C437ED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Теоретические представления о механизме радиолиза воды, так называемая радикально-диффузионная теория, в современном ее виде была сформулирована в США группами Р.Л. Платцмана и Дж. Маги. В настоящее время эта теория является общепринятой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 Рассмотрим ее основные положения.</w:t>
      </w:r>
    </w:p>
    <w:p w14:paraId="56A27D33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Основной постулат теории: в результате действия излучения на воду образуются химически-активные частицы - возбужденные молекулы и ионы, радикалы и ион-радикалы, реакциями которых друг с другом и c другими растворенными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еществами определяются макроизменения, происходящие с водой при облучении - выделение радиолитических газов (водорода и кислорода), образование пероксида водорода, окислительно-восстановительные процессы с участием растворенных веществ и т.д. Принято сумма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рный процесс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радиолиза жидкой воды разделять по времени на три стадии: физическую, физико-химическую и химическую.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 w:type="page"/>
      </w:r>
    </w:p>
    <w:p w14:paraId="32AA0244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ab/>
        <w:t>Физическая стадия радиолиза</w:t>
      </w:r>
    </w:p>
    <w:p w14:paraId="3F25C465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6EC1A6E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На этой стадии, длящейся 10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-16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-10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-15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с, происходит взаимодействие падающей частицы или высокоэнергетического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кванта с электронными оболочками молекул воды. Последние обладают энергией, достаточной для ионизации еще нескольких молекул воды. При этом расстояние, на котором происходит каждая последующая ионизация, прогрессивно уменьшается, достигая нескольких наноме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тров при потере вторичным электроном энергии, меньшей потенциала ионизации молекул воды, равного 12,6 эВ. В результате такого процесса происходит образование «блобов», коротких треков и «шпор» - локальных мест повышенной ионизации. Вторичные электроны, не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производящие ионизации, имеют достаточно энергии для возбуждения молекул воды. На физической стадии радиолиза образуются возбужденные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*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сверхвозбужденные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**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молекулы воды (в частности, ридберговские состояния с энергиями около 8 эВ). Вторичные элек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троны, энергия которых снизилась до величины пороговой энергии электронного возбуждения молекул воды в жидкой фазе (Е &lt; 7,4 эВ), называются электронами недовозбуждения. В жидкой воде возможно также образование коллективных возбуждений - плазмонов с энергие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й 21, 4 эВ и линейными размерами охваченной ими области порядка 30 нм. Плазмоны локализуются за время около 10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-15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 с образованием молекулярных ионов воды. Молекулярные ионы воды (их иногда называют «сухая дырка») могут мигрировать по резонансному механизму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; время миграции превышает 10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-15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с. Возможна также миграция возбуждения.</w:t>
      </w:r>
    </w:p>
    <w:p w14:paraId="4ABEA93B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 концу физической стадии, таким образом, в облученной воде имеются молекулярные ионы воды, электроны недовозбуждения, сверхвозбужденные ионы. Система в этот момент является энергетич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ески неравновесной, негомогенной относительно пространственного распределения упомянутых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образованных частиц - короткоживущих продуктов радиолиза.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br w:type="page"/>
      </w:r>
    </w:p>
    <w:p w14:paraId="0F6F09EA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ab/>
        <w:t>Физико-химическая стадия радиолиза</w:t>
      </w:r>
    </w:p>
    <w:p w14:paraId="31DC0271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605677E0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За время колебания молекул воды (около 10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-14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c) происходит диссоциация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возбужденных и автоионизация сверхвозбужденных молекул воды</w:t>
      </w:r>
    </w:p>
    <w:p w14:paraId="7041A982" w14:textId="3BFDBF94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 xml:space="preserve">* </w:t>
      </w:r>
      <w:r w:rsidR="005663E3"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313FFDE2" wp14:editId="44243478">
            <wp:extent cx="161925" cy="85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H + OH (распад из синглетно возбужденной молекулы воды в состояние А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 Е = 8, 4 эВ)</w:t>
      </w:r>
    </w:p>
    <w:p w14:paraId="2210D7F7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или</w:t>
      </w:r>
    </w:p>
    <w:p w14:paraId="7B39DC65" w14:textId="42D48A8C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*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 w:rsidR="005663E3"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7EFBA6EE" wp14:editId="2929C76E">
            <wp:extent cx="161925" cy="85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+ О (распад из синглетно возбужденной молекулы воды в состояние В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 Е=10, 1 эВ),</w:t>
      </w:r>
    </w:p>
    <w:p w14:paraId="75C8FB56" w14:textId="4AEC0FD9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**</w:t>
      </w:r>
      <w:r w:rsidR="005663E3"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174004E1" wp14:editId="48965949">
            <wp:extent cx="161925" cy="85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+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+ е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3A5EFAC5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68C71A07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За время порядка 10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-13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 происходит термализация электронов недовозбуждения. Они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теряют свою энергию в процессах возбуждения внутримолекулярных колебаний (основной процесс) и дипольной релаксации молекул воды. Скорость потери энергии электронами недовозбуждения составляет величину порядка 4. 10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13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эВ/с. Электроны, с некоторым избытком э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нергии (их часто называют «сухими») могут взаимодействовать с молекулярными ионами воды в триплетном и синглетном возбужденных состояниях в соотношении 3:1. Если происходит рекомбинация скоррелированной ионной пары материнский ион - электрон, то образуются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возбужденные молекулы воды только в синглетном состоянии. «Сухие» электроны могут также реагировать с акцепторами в концентрированных растворах.</w:t>
      </w:r>
    </w:p>
    <w:p w14:paraId="393E5CCE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Термализованные электроны за время продольной диэлектрической релаксации (&lt; 3.10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-13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с) локализуются с образова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нием гидратированных элект-ронов.</w:t>
      </w:r>
    </w:p>
    <w:p w14:paraId="287B11A5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Положительные молекулярные ионы воды вступают в ион-молекулярную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реакцию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br w:type="page"/>
      </w:r>
    </w:p>
    <w:p w14:paraId="1460B35F" w14:textId="7CB45838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+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+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 </w:t>
      </w:r>
      <w:r w:rsidR="005663E3"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0E07EE81" wp14:editId="5163CCCB">
            <wp:extent cx="161925" cy="85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+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+ ОН.</w:t>
      </w:r>
    </w:p>
    <w:p w14:paraId="5CCE017A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661B8779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Образовавшийся ион гидроксония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+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гидратируется за время порядка 10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-13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с.</w:t>
      </w:r>
    </w:p>
    <w:p w14:paraId="49292B36" w14:textId="4B431E1B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 концу физи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ко-химической стадии (время порядка 10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-11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с) облученная вода находится в состоянии теплового равновесия. В ней существуют гидратированные электроны, радикалы Н, ОН и О, ионы гидроксония и молекулярный водород. Эти частицы распределены в пространстве негом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огенно - они концентрируются в микрообластях. В случае </w:t>
      </w:r>
      <w:r w:rsidR="005663E3"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61557845" wp14:editId="3AE3ABD0">
            <wp:extent cx="57150" cy="104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-облучения это - «шпоры». Распределение частиц в «шпоре» также неравномерное: атомы О и Н, радикалы ОН и ионы гидроксония располагаются преимущественно в центре «шпо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ры», а гидратированные электроны - в шаровом слое на расстоянии около 4 нм от центра.</w:t>
      </w:r>
    </w:p>
    <w:p w14:paraId="4B6B92EE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78F085E8" w14:textId="77777777" w:rsidR="00000000" w:rsidRDefault="00EE1CF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br w:type="page"/>
      </w:r>
    </w:p>
    <w:p w14:paraId="3E4E0021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3.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ab/>
        <w:t>Химическая стадия радиолиза воды</w:t>
      </w:r>
    </w:p>
    <w:p w14:paraId="5167CCBA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1625D423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На химической стадии, начиная со времени порядка 10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-10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с, протекают в «блобах», «шпорах» и коротких треках химические реакции обра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зовавшихся на предыдущей стадии продуктов друг с другом, что приводит к образованию атомов и молекул водорода, пероксида водорода и ионов гидроксила. Одновременно имеет место диффузия этих частиц (и ранее образовавшихся) из «шпор» в объем раствора, следств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ием чего является размывание «шпор» и выравнивание концентраций продуктов радиолиза по объему, т.е. установление гомогенного распределения продуктов. Время установления такого распределения составляет порядка 10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-7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с. По прошествии этого времени в воде суще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ствуют гидратированные электроны, атомы водорода и кислорода, радикалы ОН, молекулярный водород, пероксид водорода, ионы гидроксония и гидроксила. Радиационно-химические выходы этих частиц, образование которых закончилось ко времени завершения внутришпоров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ых реакций (их называют первичными выходами), составляют в нейтральной воде для гамма-излучения, частица/100 эВ: G(е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гидр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= 2, 8 - 2, 9, G(H) = 0, 6, G(ОH)= 2, 8 - 2, 9, G(O) = 0, 0067, G(H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= 0, 45, G(H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= 0, 75, G(H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3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+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= 3, 3 - 3,4, G(OH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= 0, 5 -0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6.</w:t>
      </w:r>
    </w:p>
    <w:p w14:paraId="44481104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Значения радиационно-химических выходов зависят от вида воздействующего на воду ионизирующего излучения, точнее, от ЛПЭ излучения и температуры. Эти зависимости, а также кинетику радиолиза воды мы будем рассматривать в разделе, посвященном математичес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кому моделированию поведения воды как теплоносителя в первом контуре водо-водяных ядерных реакторов.</w:t>
      </w:r>
    </w:p>
    <w:p w14:paraId="1BC1992D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Вышедшие из мест повышенной концентрации в объем облучаемой системы частицы реагируют с растворенными веществами, со стабильными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продуктами радиолиза и с 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ороткоживущими частицами, вышедшими из других мест повышенной концентрации. Эти реакции характеризуются, как правило, весьма высокими константами скорости и низкими (иногда нулевыми) энергиями активации. Скорость многих реакций радикалов и ион-радикалов ли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митируется диффузией. Константы скорости таких реакций в жидкой фазе могут быть с успехом рассчитаны при помощи уравнений Смолуховского или Дебая, соответственно, для незаряженных частиц.</w:t>
      </w:r>
    </w:p>
    <w:p w14:paraId="6D1E1B34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результате упомянутых реакций в системе происходит разрушение перв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ичных стабильных продуктов радиолиза воды - водорода, пероксида водорода, кислорода - и возникновение вторичных радикальных продуктов, например, радикалов HO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</w:t>
      </w:r>
    </w:p>
    <w:p w14:paraId="37067B26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Если разрушается один из продуктов радиолиза, например,</w:t>
      </w:r>
    </w:p>
    <w:p w14:paraId="0EAF31F5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721C2C9D" w14:textId="173F9A30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Н + ОН </w:t>
      </w:r>
      <w:r w:rsidR="005663E3"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26F3CBC1" wp14:editId="380447B4">
            <wp:extent cx="161925" cy="85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О, или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+ ОН </w:t>
      </w:r>
      <w:r w:rsidR="005663E3"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71DC7909" wp14:editId="10CF2270">
            <wp:extent cx="161925" cy="857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Н +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О, 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+ е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гидр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 w:rsidR="005663E3"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321C4AE0" wp14:editId="701BF9BB">
            <wp:extent cx="161925" cy="857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ОН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+ ОН,</w:t>
      </w:r>
    </w:p>
    <w:p w14:paraId="3DE86E1C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18D4F161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то говорят об «обратных» реакциях. В условиях непрерывного воздействия ионизирующего излучения такие реакции играют важную роль, так как благодаря им система не претерпевает полного разложения под действием из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лучения. В ней устанавливается стационарное состояние - динамическое равновесие, при котором скорость разрушения вещества, составляющего систему (в нашем случае - воды) под действием излучения оказывается равной скорости воспроизводства этого вещества из в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озникших при действии излучения фрагментов или продуктов. Явление радиационно-химического стационарного состояния в облученной воде имеет исключительно важное значение для количественных расчетов изменений под действием излучения свойств воды как теплоноси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теля в первом контуре реакторных установок, в бассейнах - хранилищах и контейнерах для перевозки отработавшего топлива.</w:t>
      </w:r>
    </w:p>
    <w:p w14:paraId="3C3CDB79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Если говорят, что при радиолизе водная система находиться в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 xml:space="preserve">стационарном состоянии, то это означает наличие динамического равновесия по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всем ее составляющим: основному веществу - воде и продуктам радиолиза - водороду, кислороду и пероксиду водорода. При этом скорость образования продуктов в первичных процессах равна скорости их разложения во вторичных реакциях и удаления из воды в паровую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фазу. Кинетика накопления короткоживущих (Х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i, 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- гидратированные электроны, атомы водорода, радикалы гидроксила и т.д.) и стабильных (Х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- водород, кислород и пероксид водорода) продуктов радиолиза воды описывается уравнениями:</w:t>
      </w:r>
    </w:p>
    <w:p w14:paraId="05BC8482" w14:textId="1EE40FE1" w:rsidR="00000000" w:rsidRDefault="00EE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i, 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 /dt = G(Х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i, 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(I/1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00N) - </w:t>
      </w:r>
      <w:r w:rsidR="005663E3"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02714FEA" wp14:editId="1054C3B1">
            <wp:extent cx="133350" cy="133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i, 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k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i, 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 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 + k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i, 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 xml:space="preserve">i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 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, 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], (5. 1)[Х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 /dt = G(Х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) (I/100N) - </w:t>
      </w:r>
      <w:r w:rsidR="005663E3"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501383FF" wp14:editId="3B76495C">
            <wp:extent cx="133350" cy="133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k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 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] + </w:t>
      </w:r>
      <w:r w:rsidR="005663E3"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17BBAC20" wp14:editId="0416C943">
            <wp:extent cx="133350" cy="133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i, 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k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i, 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 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 - kХ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([Х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 - рХ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a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</w:t>
      </w:r>
    </w:p>
    <w:p w14:paraId="2C3410A5" w14:textId="77777777" w:rsidR="00000000" w:rsidRDefault="00EE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646F643A" w14:textId="77777777" w:rsidR="00000000" w:rsidRDefault="00EE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этих уравнениях 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 - концентрация молекулярных продуктов в воде, рХ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- их парциальное давление в паровой фазе, G(Х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- начальный выход, 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], [Х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 - концентрации короткоживущих продуктов радиолиза, участвующих в образовании и разложении молекулярных пр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одуктов 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k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i,j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k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- константы скорости элементарных реакций, kХ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- коэффициент массопереноса молекулярных продуктов из жидкой фазы в газовую, а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- константа Генри, I - мощность поглощенной дозы, и N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- число Авогадро.</w:t>
      </w:r>
    </w:p>
    <w:p w14:paraId="2065008E" w14:textId="77777777" w:rsidR="00000000" w:rsidRDefault="00EE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 стационарном состоянии d[X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i, 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]/d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t = d[X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]/dt = 0.</w:t>
      </w:r>
    </w:p>
    <w:p w14:paraId="5DD3083F" w14:textId="77777777" w:rsidR="00000000" w:rsidRDefault="00EE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Это означает, что после достижения стационарного состояния концентрации продуктов радиолиза перестают зависеть от времени (дозы) и остаются на постоянном уровне сколько бы времени не продолжалось облучение.</w:t>
      </w:r>
    </w:p>
    <w:p w14:paraId="03F04FBA" w14:textId="77777777" w:rsidR="00000000" w:rsidRDefault="00EE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Чем важно для ядерной технологи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 такое присущее химическим процессам в облучаемой воде явление, как стационарное состояние? Во-первых, как уже упоминалось выше, тем, что в замкнутой системе разложение воды в результате радиолиза не может идти до бесконечности. Во-вторых, величины стацио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нарных концентраций могут быть в некоторых пределах изменены путем варьирования условий облучения. Это можно сделать, например, изменением коэффициента массопереноса (kХ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в уравнении (5.2)) путем увеличения производительности системы деаэрации первого конт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ура водо-водяного реактора, если радиолиз имеет место в первом контуре такого реактора. Наконец, в-третьих, стационарные концентрации заданных условий радиолиза могут быть рассчитаны современными методами математического моделирования.</w:t>
      </w:r>
    </w:p>
    <w:p w14:paraId="352F4932" w14:textId="77777777" w:rsidR="00000000" w:rsidRDefault="00EE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На величины стациона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рных концентраций продуктов радиолиза воды оказывают влияние следующие технологически важные параметры: линейная передача энергии, связанная с качественным составом излучения, в поле которого находится водная система; температура, при которой происходит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об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лучение, а также наличие в воде примесей, особенно, кислорода.</w:t>
      </w:r>
    </w:p>
    <w:p w14:paraId="7217C699" w14:textId="77777777" w:rsidR="00000000" w:rsidRDefault="00EE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Влияние ЛПЭ проявляется в том, что при его изменении меняются начальные выходы G(H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и G(X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i, 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). В табл. 5.1 приведены данные, иллюстрирующие это явление. При увеличении ЛПЭ выходы короткоживущ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их продуктов падают, а стабильных - растут. Из уравнений (5. 1) и (5. 2) cледует, что такое изменение начальных выходов будет приводить к тому, что величины стационарных концентраций стабильных продуктов радиолиза воды с ростом ЛПЭ будут возрастать. Более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того, при достаточно большой ЛПЭ может оказаться, что выходы короткоживущих продуктов будут очень малы, и эти частицы уже не смогут обеспечить эффективного разложения стабильных продуктов. В этом случае стационарное состояние устанавливаться не будет, и ра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диолиз воды будет происходить с постоянной скоростью, не зависящей от времени (дозы).</w:t>
      </w:r>
    </w:p>
    <w:p w14:paraId="152AC7B5" w14:textId="77777777" w:rsidR="00000000" w:rsidRDefault="00EE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Что касается влияния температуры на стационарные концентрации стабильных продуктов радиолиза, то этот фактор действует по двум каналам. Во-первых, через константы скорост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 элементарных реакций k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k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i, 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. Большинство из этих констант, как мы уже упоминали, диффузионно-контролируемые. Поэтому, на первый взгляд, вычислить зависимость констант от температуры достаточно просто: следует принять, что в достаточно широком диапазо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не температур зависимость констант k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и k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i, j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от температуры - аррениусова, и положить, что энергия активации равна энергии активации самодиффузии воды, т.е. 10 -15 кДж/моль. Однако такой подход на современном уровне знаний о природе воды может оказаться 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есостоятельным. Доказано, что вода даже при высоких температурах (выше 250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С) структурирована. По этой причине ее свойства, в том числе коэффициент самодиффузии, сложно зависят от температуры, особенно, если в воде присутствуют вещества, способные влиять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на структуру, например, электролиты или растворенные газы. Даже в специально очищенной воде энергия активации самодиффузии различна в разных температурных диапазонах: при 250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 она равна 12 кДж/моль, при 25 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 - 18, 9 кДж/моль, а в переохлажденной до -30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 воде - 46 кДж/моль. Такие эффекты, без сомнения, необходимо учитывать при прогнозировании последствий действия излучения на воду при высокой температуре.</w:t>
      </w:r>
    </w:p>
    <w:p w14:paraId="253C226D" w14:textId="77777777" w:rsidR="00000000" w:rsidRDefault="00EE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Второй канал влияния температуры на стационарные концентрации стабильных продуктов радиолиза воды -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температурные зависимости начальных выходов всех продуктов радиолиза воды.</w:t>
      </w:r>
    </w:p>
    <w:p w14:paraId="0F0187DE" w14:textId="77777777" w:rsidR="00000000" w:rsidRDefault="00EE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Математическое моделирование температурной зависимости стационарных концентраций водорода, кислорода и пероксида водорода при гамма-радиолизе воды показало, что доминирующим канало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 является температурная зависимость энергии активации (Е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) диффузионно - контролируемых реакций. На рис 5.1 представлена зависимость расчетных стационарных концентраций пероксида водорода от температуры. Треугольниками обозначены результаты расчета концен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трации с G и E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a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, не зависящими от температуры; кружками - с зависящим от температуры G и не зависящей E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 xml:space="preserve">a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и, наконец, крестиками -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ситуацию, когда и G, и E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 xml:space="preserve">a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являются функцией температуры.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Эффект изменения начальных выходов с температурой в диапазоне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20 - 250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perscript"/>
          <w:lang w:val="ru-RU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С не превышает 5%, тогда как эффект зависимости Е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а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от температуры составляет около 20%.</w:t>
      </w:r>
    </w:p>
    <w:p w14:paraId="48C60213" w14:textId="77777777" w:rsidR="00000000" w:rsidRDefault="00EE1C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6F4A761B" w14:textId="77777777" w:rsidR="00000000" w:rsidRDefault="00EE1CF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Calibri" w:hAnsi="Calibri" w:cs="Calibri"/>
          <w:color w:val="000000"/>
          <w:sz w:val="28"/>
          <w:szCs w:val="28"/>
          <w:lang w:val="ru-RU"/>
        </w:rPr>
        <w:br w:type="page"/>
      </w:r>
    </w:p>
    <w:p w14:paraId="16A1D688" w14:textId="47BE80C3" w:rsidR="00000000" w:rsidRDefault="005663E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15C713FB" wp14:editId="41C899BB">
            <wp:extent cx="3667125" cy="17716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FE876" w14:textId="3CE3134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Влияние температуры на стационарную концентрацию перокисида водорода при </w:t>
      </w:r>
      <w:r w:rsidR="005663E3">
        <w:rPr>
          <w:rFonts w:ascii="Microsoft Sans Serif" w:hAnsi="Microsoft Sans Serif" w:cs="Microsoft Sans Serif"/>
          <w:noProof/>
          <w:sz w:val="17"/>
          <w:szCs w:val="17"/>
          <w:lang w:val="ru-RU"/>
        </w:rPr>
        <w:drawing>
          <wp:inline distT="0" distB="0" distL="0" distR="0" wp14:anchorId="11563B2F" wp14:editId="64A22E9C">
            <wp:extent cx="57150" cy="1047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-радиолиз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 воды</w:t>
      </w:r>
    </w:p>
    <w:p w14:paraId="4C75D487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5F671AD4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Наличие примесей в воде оказывает весьма существенное влияние на величины стационарных концентраций продуктов радиолиза воды. Более того присутствие некоторых примесей в значительных концентрациях может приводить к тому, что стационарное состояние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окажется недостижимым. Примером этому служат содержащие нитрат натрия высокоактивные водные отходы переработки отработавшего ядерного топлива: в таких системах отсутствует стационарное состояние в отношении радиолитических газов - водорода и кислорода.</w:t>
      </w:r>
    </w:p>
    <w:p w14:paraId="117D246A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Для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радиационной химии водных теплоносителей наиболее важной примесью является кислород. Установлено, что стационарные концентрации водорода, кислорода и перекиси водорода при гамма - радиолизе воды пропорциональны начальной концентрации растворенного в воде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до облучения кислорода. При комнатной температуре имеют место следующие линейные зависимости:</w:t>
      </w:r>
    </w:p>
    <w:p w14:paraId="08EAB17B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EA76D4A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[H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 = a [O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нач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+ C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 xml:space="preserve">1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(5.3)</w:t>
      </w:r>
    </w:p>
    <w:p w14:paraId="68186CCC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[H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 = b [O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]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>нач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 + C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  <w:lang w:val="ru-RU"/>
        </w:rPr>
        <w:t xml:space="preserve">2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(5.3)</w:t>
      </w:r>
    </w:p>
    <w:p w14:paraId="0C12C1CD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46A19A55" w14:textId="77777777" w:rsidR="00000000" w:rsidRDefault="00EE1CF9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ru-RU"/>
        </w:rPr>
        <w:lastRenderedPageBreak/>
        <w:br w:type="page"/>
      </w:r>
    </w:p>
    <w:p w14:paraId="40AA85F2" w14:textId="77777777" w:rsidR="00000000" w:rsidRDefault="00EE1C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4.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ab/>
        <w:t>Влияние свободных радикалов на живые организмы</w:t>
      </w:r>
    </w:p>
    <w:p w14:paraId="68E1714C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2BC46F64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Организм человека - это сложнейшее переплетение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органических молекул. У всех молекул на внешней оболочке расположены парные электроны. В процессе метаболизма в нашем организме образуются свободные радикалы, которые окисляют каждую клетку, с которыми имеют контакт. В результате, происходят различные нару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шения процессов жизнедеятельности. В итоге наш организм устает, ослабевает, становится чувствителен к инфекциям, склонен к воспалению и быстрее стареет.</w:t>
      </w:r>
    </w:p>
    <w:p w14:paraId="29F20FB1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Свободные радикалы - это активные молекулы кислорода, лишившиеся парного электрона, которые в процессе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поиска стараются отобрать недостающий электрон.</w:t>
      </w:r>
    </w:p>
    <w:p w14:paraId="4650D443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25EBFBD0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.1 Свободные радикалы и ДНК</w:t>
      </w:r>
    </w:p>
    <w:p w14:paraId="69281C7F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42DA2E58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Если клетка ДНК травмирована, то это может привести к развитию рака или инфаркта. Свободным радикалам «предпочтительны» подобные клетки. Они любят «нападать» на них, причем делаю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т это примерно 10 000 раз в день. А ведь ДНК хранит и передает генетические сведения: содержит в себе все сведения о внешних данных человека. Она является хранителем информации, также передает сведения о внешних данных. Если структура ДНК повреждается, то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начинают возникать болезни, приводящие к летальному исходу.</w:t>
      </w:r>
    </w:p>
    <w:p w14:paraId="4730C9A0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35B3C8EE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.2 Свободные радикалы и легкие</w:t>
      </w:r>
    </w:p>
    <w:p w14:paraId="4D302914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4BA4BD35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Эти вредные молекулы негативно влияют на такой жизненно важный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орган, как лёгкие. Ведь легкие постоянно находятся в контакте с кислородом, который и приводит к оки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слению. В загрязненном воздухе содержится огромное количество свободных радикалов, которые приводят к негативным последствиям. Кроме того сама легочная ткань богата ненасыщенными жирными кислотами. А если к этому добавить еще и воздействие оксидантов от ку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рения, то легкие становятся самым уязвимым органом для процессов окисления.</w:t>
      </w:r>
    </w:p>
    <w:p w14:paraId="09FB6509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0C5FC863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.3 Радикалы и жиры</w:t>
      </w:r>
    </w:p>
    <w:p w14:paraId="519747B2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33A64750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Во время окисления жиров возникает группа заболеваний. Более всего подвержены окислению жироподобные вещества и ненасыщенные жирные кислоты, являющиеся элемент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ами диафрагмы клетки. Для того чтобы разорвать углеводородную связь с насыщенными кислотами, следует израсходовать много биоэнергии. Для насыщенных кислот энергии расходуется значительно меньше, что может привезти окислению липидов, которое являются основн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ой причиной возникновения нарушения функционирования мембраны. Вся череда этих процессов приводит к развитию заболевания печени.</w:t>
      </w:r>
    </w:p>
    <w:p w14:paraId="0D0AA520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На заметку: если ежедневно потреблять водородную «Живую воду» приготовленную при помощи магниевого стержня «ВилоВит», то окисле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ния не произойдет. Как мы знаем уже, такая вода - это антиоксидант, а водород блокирует окисление, происходящее в организме.</w:t>
      </w:r>
    </w:p>
    <w:p w14:paraId="6C6D8707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40E1FF8B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.4 Свободные радикалы и сердечнососудистая система</w:t>
      </w:r>
    </w:p>
    <w:p w14:paraId="391555D5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028A9A29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Свободные радикалы губительно влияют на сердечно - сосудистую систему человек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а. Вследствие разрушения молекул мембран клеток элементы крови постепенно становятся не жидкими, а вязкими. На стенки сосудов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lastRenderedPageBreak/>
        <w:t>налипает липиды и холестерин, возникают тромбы, и развивается атеросклероз.</w:t>
      </w:r>
    </w:p>
    <w:p w14:paraId="1A48B8D7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Для того чтобы налипания на сосуды не происходило, рек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омендуется ежедневно потреблять водородную «Живую воду». Она не только является антиоксидантом, но и очищает стенки сосудов от липидов и холестерина, которые являются причиной закупорки сосудов.</w:t>
      </w:r>
    </w:p>
    <w:p w14:paraId="72E7CE72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14:paraId="41E7E10D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.5 Свободные радикалы и диабет</w:t>
      </w:r>
    </w:p>
    <w:p w14:paraId="77B19074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14:paraId="71FF9F15" w14:textId="77777777" w:rsidR="00000000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Доказано, что окисление акти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вным кислородом является основной причиной нарушения сахара в крови, и является причиной возникновения осложнений. Ученые проводили опыты на мышах (вводили внутривенно медпрепарат аллоксан). Сразу после введения начинал происходить дисбаланс углеводного об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мена, и возникли химические частицы с неспаренными электронами. После трехдневного ежедневного введения медпрепарата у них гибли бета - клетки. Аналогичные процессы протекают и у больного диабетом 1 - го типа.</w:t>
      </w:r>
    </w:p>
    <w:p w14:paraId="7686ED06" w14:textId="77777777" w:rsidR="00EE1CF9" w:rsidRDefault="00EE1CF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 xml:space="preserve">У животных второй партии, предназначенной для </w:t>
      </w:r>
      <w:r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  <w:t>исследований, из митохондрий поджелудочной железы вытеснили белок, играющий важную роль в работе митохондрий (фратаксин), и отвечающий за устранение оксидантов. Итог исследования - гибель бета - клеток и развития диабета 2 - го типа.</w:t>
      </w:r>
    </w:p>
    <w:sectPr w:rsidR="00EE1CF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E3"/>
    <w:rsid w:val="005663E3"/>
    <w:rsid w:val="00E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2766E"/>
  <w14:defaultImageDpi w14:val="0"/>
  <w15:docId w15:val="{A404F5A9-DB8E-410A-A149-81EF30B0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2949</Words>
  <Characters>16810</Characters>
  <Application>Microsoft Office Word</Application>
  <DocSecurity>0</DocSecurity>
  <Lines>140</Lines>
  <Paragraphs>39</Paragraphs>
  <ScaleCrop>false</ScaleCrop>
  <Company/>
  <LinksUpToDate>false</LinksUpToDate>
  <CharactersWithSpaces>19720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2025-11-28T05:21:00Z</dcterms:created>
  <dcterms:modified xsi:type="dcterms:W3CDTF">2025-11-28T05:21:00Z</dcterms:modified>
</cp:coreProperties>
</file>