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015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19535006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2C31C259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0BF98918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7F0D14C0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33E206B2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01279CFB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67BDF32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7D25A17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27B135EB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546E3570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2304E4F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0DD0214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0498B8CC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71F61916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092D5CE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Особенности Невской Губы как эстуария</w:t>
      </w:r>
    </w:p>
    <w:p w14:paraId="2C52B45C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7BDDF31A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0CC429C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5C8472F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Подготовила студентка</w:t>
      </w:r>
    </w:p>
    <w:p w14:paraId="603B513C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Филимонова Дарья</w:t>
      </w:r>
    </w:p>
    <w:p w14:paraId="5EA84D0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</w:p>
    <w:p w14:paraId="799FE466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Содержание</w:t>
      </w:r>
    </w:p>
    <w:p w14:paraId="060A1B9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D20191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2F9305F9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1. География объекта</w:t>
      </w:r>
    </w:p>
    <w:p w14:paraId="3658E352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2. Эстуарий реки Невы как экологическая система</w:t>
      </w:r>
    </w:p>
    <w:p w14:paraId="0B158DAB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</w:t>
      </w:r>
      <w:r>
        <w:rPr>
          <w:rFonts w:ascii="Times New Roman CYR" w:hAnsi="Times New Roman CYR" w:cs="Times New Roman CYR"/>
          <w:sz w:val="28"/>
          <w:szCs w:val="28"/>
        </w:rPr>
        <w:tab/>
        <w:t>Общая характеристика эстуария реки Невы</w:t>
      </w:r>
    </w:p>
    <w:p w14:paraId="54E89A88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</w:t>
      </w:r>
      <w:r>
        <w:rPr>
          <w:rFonts w:ascii="Times New Roman CYR" w:hAnsi="Times New Roman CYR" w:cs="Times New Roman CYR"/>
          <w:sz w:val="28"/>
          <w:szCs w:val="28"/>
        </w:rPr>
        <w:tab/>
        <w:t>Стр</w:t>
      </w:r>
      <w:r>
        <w:rPr>
          <w:rFonts w:ascii="Times New Roman CYR" w:hAnsi="Times New Roman CYR" w:cs="Times New Roman CYR"/>
          <w:sz w:val="28"/>
          <w:szCs w:val="28"/>
        </w:rPr>
        <w:t>атификация</w:t>
      </w:r>
    </w:p>
    <w:p w14:paraId="7A7D4332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3. Короткий обзор флоры и фауны Невской губы</w:t>
      </w:r>
    </w:p>
    <w:p w14:paraId="3287D5AB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.1 Флора и ихтиофауна </w:t>
      </w:r>
    </w:p>
    <w:p w14:paraId="201CC861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 Особенности планктонных сообществ</w:t>
      </w:r>
    </w:p>
    <w:p w14:paraId="0B40011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.3 Особенности бентосных сообществ</w:t>
      </w:r>
    </w:p>
    <w:p w14:paraId="3177812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4. Проблема загрязнения вод Невской Губы</w:t>
      </w:r>
    </w:p>
    <w:p w14:paraId="50A2001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Выводы</w:t>
      </w:r>
    </w:p>
    <w:p w14:paraId="71EB6805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Литература</w:t>
      </w:r>
    </w:p>
    <w:p w14:paraId="6F0281F2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40241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Введение</w:t>
      </w:r>
    </w:p>
    <w:p w14:paraId="0DB6487A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071EE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Универсальная особенно</w:t>
      </w:r>
      <w:r>
        <w:rPr>
          <w:rFonts w:ascii="Times New Roman CYR" w:hAnsi="Times New Roman CYR" w:cs="Times New Roman CYR"/>
          <w:sz w:val="28"/>
          <w:szCs w:val="28"/>
        </w:rPr>
        <w:t>сть эстуарных экосистем - возникающий от смешения морских и пресных вод градиент солености. В градиенте солености важнейшие абиотические и биотические процессы меняются не линейно, а с резким изменением направленности и скоростей при пересечении узкой зоны</w:t>
      </w:r>
      <w:r>
        <w:rPr>
          <w:rFonts w:ascii="Times New Roman CYR" w:hAnsi="Times New Roman CYR" w:cs="Times New Roman CYR"/>
          <w:sz w:val="28"/>
          <w:szCs w:val="28"/>
        </w:rPr>
        <w:t xml:space="preserve"> «критической солености» около 5-8%. Выше этой зоны критической солености доминируют морские организмы, ниже - пресноводные. Собственно солоноватоводные, или эстуарные виды, своим присутствием определяют экосистему солоноватых вод, или эстуарную экосистему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D3A4331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районе Лужской губы и на входе в Выборгский залив соленость составляет 3-4%, а с западной стороны острова Котлина - 2%. Собственно Невская губа практически пресная, хотя даже сюда иногда может проникать солоноватая вода, к примеру, в начале века был от</w:t>
      </w:r>
      <w:r>
        <w:rPr>
          <w:rFonts w:ascii="Times New Roman CYR" w:hAnsi="Times New Roman CYR" w:cs="Times New Roman CYR"/>
          <w:sz w:val="28"/>
          <w:szCs w:val="28"/>
        </w:rPr>
        <w:t xml:space="preserve">мечен случай, когда в районе Стрельны соленость воды составила 3%. </w:t>
      </w:r>
    </w:p>
    <w:p w14:paraId="5F30612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BF16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Глава 1. География объекта</w:t>
      </w:r>
    </w:p>
    <w:p w14:paraId="0B38ED4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F2EBF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Невская Губа представляет собой южное побережье Финского залива.</w:t>
      </w:r>
    </w:p>
    <w:p w14:paraId="7F527D20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Губа ограничена на востоке песчаным баром реки Нева, на западе линией Лисий Нос &lt;http://dic.a</w:t>
      </w:r>
      <w:r>
        <w:rPr>
          <w:rFonts w:ascii="Times New Roman CYR" w:hAnsi="Times New Roman CYR" w:cs="Times New Roman CYR"/>
          <w:sz w:val="28"/>
          <w:szCs w:val="28"/>
        </w:rPr>
        <w:t>cademic.ru/dic.nsf/ruwiki/56849&gt; - Кронштадт - Ломоносов. Площадь водного зеркала до создания Комплекса защитных сооружений Санкт-Петербурга от наводнений принималась равной 329 км</w:t>
      </w:r>
      <w:r>
        <w:rPr>
          <w:rFonts w:ascii="Times New Roman" w:hAnsi="Times New Roman" w:cs="Times New Roman"/>
          <w:sz w:val="28"/>
          <w:szCs w:val="28"/>
        </w:rPr>
        <w:t xml:space="preserve">². </w:t>
      </w:r>
      <w:r>
        <w:rPr>
          <w:rFonts w:ascii="Times New Roman CYR" w:hAnsi="Times New Roman CYR" w:cs="Times New Roman CYR"/>
          <w:sz w:val="28"/>
          <w:szCs w:val="28"/>
        </w:rPr>
        <w:t>Дно преимущественно песчаное и плоское.</w:t>
      </w:r>
    </w:p>
    <w:p w14:paraId="1A972924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остальной частью Финского залив</w:t>
      </w:r>
      <w:r>
        <w:rPr>
          <w:rFonts w:ascii="Times New Roman CYR" w:hAnsi="Times New Roman CYR" w:cs="Times New Roman CYR"/>
          <w:sz w:val="28"/>
          <w:szCs w:val="28"/>
        </w:rPr>
        <w:t>а Невская губа сообщалась через два пролива у острова Котлин &lt;http://dic.academic.ru/dic.nsf/ruwiki/148662&gt;, именуемых Северными и Южными Воротами. Ширина Северных Ворот 9-10 км, Южных- 5-7 км. В современном состоянии Невская губа отделена от Финского зали</w:t>
      </w:r>
      <w:r>
        <w:rPr>
          <w:rFonts w:ascii="Times New Roman CYR" w:hAnsi="Times New Roman CYR" w:cs="Times New Roman CYR"/>
          <w:sz w:val="28"/>
          <w:szCs w:val="28"/>
        </w:rPr>
        <w:t>ва по линии Горская &lt;http://dic.academic.ru/dic.nsf/ruwiki/1778906&gt;- Кронштадт - Бронка &lt;http://dic.academic.ru/dic.nsf/ruwiki/109888&gt; комплексом дамб защитных сооружений &lt;http://dic.academic.ru/dic.nsf/ruwiki/107686&gt; Санкт-Петербурга от наводнений и являе</w:t>
      </w:r>
      <w:r>
        <w:rPr>
          <w:rFonts w:ascii="Times New Roman CYR" w:hAnsi="Times New Roman CYR" w:cs="Times New Roman CYR"/>
          <w:sz w:val="28"/>
          <w:szCs w:val="28"/>
        </w:rPr>
        <w:t>тся изолированным проточным водоёмом</w:t>
      </w:r>
    </w:p>
    <w:p w14:paraId="34120EF0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линию защитных сооружений принять за современную западную границу Невской губы, то площадь водного зеркала при уровне, близком к ординару &lt;http://dic.academic.ru/dic.nsf/ruwiki/10815&gt;, составит 380 км</w:t>
      </w:r>
      <w:r>
        <w:rPr>
          <w:rFonts w:ascii="Times New Roman" w:hAnsi="Times New Roman" w:cs="Times New Roman"/>
          <w:sz w:val="28"/>
          <w:szCs w:val="28"/>
        </w:rPr>
        <w:t xml:space="preserve">², </w:t>
      </w:r>
      <w:r>
        <w:rPr>
          <w:rFonts w:ascii="Times New Roman CYR" w:hAnsi="Times New Roman CYR" w:cs="Times New Roman CYR"/>
          <w:sz w:val="28"/>
          <w:szCs w:val="28"/>
        </w:rPr>
        <w:t>объем водно</w:t>
      </w:r>
      <w:r>
        <w:rPr>
          <w:rFonts w:ascii="Times New Roman CYR" w:hAnsi="Times New Roman CYR" w:cs="Times New Roman CYR"/>
          <w:sz w:val="28"/>
          <w:szCs w:val="28"/>
        </w:rPr>
        <w:t>й массы 1,2 км</w:t>
      </w:r>
      <w:r>
        <w:rPr>
          <w:rFonts w:ascii="Times New Roman" w:hAnsi="Times New Roman" w:cs="Times New Roman"/>
          <w:sz w:val="28"/>
          <w:szCs w:val="28"/>
        </w:rPr>
        <w:t xml:space="preserve">³. </w:t>
      </w:r>
      <w:r>
        <w:rPr>
          <w:rFonts w:ascii="Times New Roman CYR" w:hAnsi="Times New Roman CYR" w:cs="Times New Roman CYR"/>
          <w:sz w:val="28"/>
          <w:szCs w:val="28"/>
        </w:rPr>
        <w:t>Длина Невской губы в указанных границах с запада на восток 21 км, наибольшая ширина 15 км. Средняя естественная глубина губы около 3,0 м.</w:t>
      </w:r>
    </w:p>
    <w:p w14:paraId="33D3E441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подходах к Комплексу защитных сооружений (с востока и с запада) имеются многочисленные естественн</w:t>
      </w:r>
      <w:r>
        <w:rPr>
          <w:rFonts w:ascii="Times New Roman CYR" w:hAnsi="Times New Roman CYR" w:cs="Times New Roman CYR"/>
          <w:sz w:val="28"/>
          <w:szCs w:val="28"/>
        </w:rPr>
        <w:t>ые и искусственные преграды. Как сам Комплекс защитных сооружений, так и преграды на подходах к ней затрудняют водообмен между Невской губой и солоноватыми водами Финского залива, препятствуют вторжению ветровых волн из залива в губу.</w:t>
      </w:r>
    </w:p>
    <w:p w14:paraId="62E86E00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14:paraId="09D0CE6B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Глава 2. Эстуарий р</w:t>
      </w:r>
      <w:r>
        <w:rPr>
          <w:rFonts w:ascii="Times New Roman CYR" w:hAnsi="Times New Roman CYR" w:cs="Times New Roman CYR"/>
          <w:sz w:val="28"/>
          <w:szCs w:val="28"/>
        </w:rPr>
        <w:t>еки Невы как экологическая система</w:t>
      </w:r>
    </w:p>
    <w:p w14:paraId="2A8B9F3C" w14:textId="77777777" w:rsidR="00000000" w:rsidRDefault="00C629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14:paraId="49689BC2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Эстуарий реки Невы представляет собой пример водной экосистемы, биоценозы которой сформировались под влиянием комплексного антропогенного воздействия, и изменение биоразнообразия здесь определялось в основном антропогенн</w:t>
      </w:r>
      <w:r>
        <w:rPr>
          <w:rFonts w:ascii="Times New Roman CYR" w:hAnsi="Times New Roman CYR" w:cs="Times New Roman CYR"/>
          <w:sz w:val="28"/>
          <w:szCs w:val="28"/>
        </w:rPr>
        <w:t xml:space="preserve">ыми факторами. Акватория эстуария загрязняется промышленными и бытовыми сточными водами Санкт-Петербурга и его пригородов; здесь пролегают пути интенсивного судоходства и осуществляется крупномасштабное гидромеханическое воздействие. В середине 1980 годов </w:t>
      </w:r>
      <w:r>
        <w:rPr>
          <w:rFonts w:ascii="Times New Roman CYR" w:hAnsi="Times New Roman CYR" w:cs="Times New Roman CYR"/>
          <w:sz w:val="28"/>
          <w:szCs w:val="28"/>
        </w:rPr>
        <w:t>эстуарий был разделен дамбами на нижнюю солоноватоводную и верхнюю пресноводную (Невская губа) части, что существенно изменило экологические условия последней. К характеристикам изученной акватории следует отнести также загрязнение ее на протяжении последн</w:t>
      </w:r>
      <w:r>
        <w:rPr>
          <w:rFonts w:ascii="Times New Roman CYR" w:hAnsi="Times New Roman CYR" w:cs="Times New Roman CYR"/>
          <w:sz w:val="28"/>
          <w:szCs w:val="28"/>
        </w:rPr>
        <w:t>их десятилетий взвешенными веществами, полученными в результате дноуглубительных работ.</w:t>
      </w:r>
    </w:p>
    <w:p w14:paraId="4D2C4EF2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DD823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 Общая характеристика эстуария реки Невы</w:t>
      </w:r>
    </w:p>
    <w:p w14:paraId="47D94BD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63EC14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Наряду с общими чертами эстуариев, Невская Губа имеет также и целый ряд особых характеристик, характерных для эстуарных вод</w:t>
      </w:r>
      <w:r>
        <w:rPr>
          <w:rFonts w:ascii="Times New Roman CYR" w:hAnsi="Times New Roman CYR" w:cs="Times New Roman CYR"/>
          <w:sz w:val="28"/>
          <w:szCs w:val="28"/>
        </w:rPr>
        <w:t>оёмов Балтики.</w:t>
      </w:r>
    </w:p>
    <w:p w14:paraId="608ABD80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именно, эти эстуарии: бесприливные, солоноватоводные, мелководные, с сильным ветровым перемешиванием водных масс, имеют стохастический водообмен с открытой Балтикой, со значительным пространственным градиентом абиотических и биотических па</w:t>
      </w:r>
      <w:r>
        <w:rPr>
          <w:rFonts w:ascii="Times New Roman CYR" w:hAnsi="Times New Roman CYR" w:cs="Times New Roman CYR"/>
          <w:sz w:val="28"/>
          <w:szCs w:val="28"/>
        </w:rPr>
        <w:t xml:space="preserve">раметров, обусловленным главным образом физическими факторами, с интенсивным накоплением гуминовых веществ; они населены сообществами фито- и зоопланктона, отличающимися большим видовым разнообразием и доминированием эвритопных видов, характеризуются ярко </w:t>
      </w:r>
      <w:r>
        <w:rPr>
          <w:rFonts w:ascii="Times New Roman CYR" w:hAnsi="Times New Roman CYR" w:cs="Times New Roman CYR"/>
          <w:sz w:val="28"/>
          <w:szCs w:val="28"/>
        </w:rPr>
        <w:t>выраженными бенто-пелагическими взаимодействиями, восприимчивы к загрязнению и эвтрофированию.</w:t>
      </w:r>
    </w:p>
    <w:p w14:paraId="4594D48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14:paraId="79AB2B7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2.2 Стратификация</w:t>
      </w:r>
    </w:p>
    <w:p w14:paraId="36B06DCC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70E9A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На обобщенном профиле зарастания побережий Невской губы можно выделить 6 основных зон. Лимническая зона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характеризуется преимущественно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ертикальными потоками энергии и концентрацией водных организмов в толще воды. В зоне макрофитов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преобладают горизонтальные потоки энергии, а основная биомасса сконцентрирована в перифитоне. Зарастание дна погруженными в воду макрофитами способствует 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акреплению донных отложений и «связыванию» избытка биогенов, в результате чего участки дна, заросшие макрофитами, представляют собой кормовые участки зоопланктона и многих рыб. Растительность представлена рдестами и нитчатыми водорослями. Здесь и в следующ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ей зоне из-за высокой мутности и движения воды отсутствуют растения с плавающими листьями. Роль макрофитов как своеобразных ловушек для биогенных веществ усиливается благодаря многочисленным «эпифитным» водорослям, которые поселяются на стеблях и листьях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акрофитов. На мелководьях вдоль берега (зона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разрастается прибрежная растительность, представленная надводными продуцентами, такими как тростник, озерный камыш, осоки и др. Она играет важную роль буфера между водными и наземными экосистемами. Кроме 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го, эта разнообразная растительность эффективно "связывает" избыток биогенов и задерживает частицы детрита, улучшая условия водообмена с прилегающими территориями. Мелководья, поросшие прибрежной растительностью, - ценные участки нереста и откорма некоторы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видов рыб. Здесь гнездятся многие водоплавающие птицы и расположены места стоянок птиц во время сезонных миграций.</w:t>
      </w:r>
    </w:p>
    <w:p w14:paraId="6BC15F05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Наземные и водные экосистемы эстуария тесно взаимосвязаны. Наиболее важным процессом является смыв биогенов (нитраты, фосфаты) и органическ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их веществ с поверхности суши в водные экосистемы. Эти вещества составляют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основу питания водных организмов. Смываемая почва, попадая в воду, осаждается на дне. В свою очередь, рыбы, моллюски, насекомые являются пищей для многих обитающих на суше животных.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Поэтому часть смытого питательного материала возвращается на сушу, участвуя в круговороте веществ. Широкие пляжи и прибрежные отмели (зона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зарастают травами.</w:t>
      </w:r>
    </w:p>
    <w:p w14:paraId="74674676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</w:p>
    <w:p w14:paraId="3907229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3. Короткий обзор флоры и фауны Невской губы</w:t>
      </w:r>
    </w:p>
    <w:p w14:paraId="61C7C3B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</w:p>
    <w:p w14:paraId="47AC25C9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3.1 Флора и ихтиофауна </w:t>
      </w:r>
    </w:p>
    <w:p w14:paraId="323275D9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4DFD9E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Основную массу видов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ихтиофауны восточной части Финского залива составляют пресноводные рыбы; среди них такие хорошо известные виды рыб, как окунь, плотва, щука, ерш, елец и многие другие. Среди беспозвоночных встречаются моллюски перловицы и беззубки, катушки, прудовики и лу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жанки, водные клопы и жуки, личинки комаров, ручейников и поденок. Разнообразна водная прибрежная растительность - рдесты и стрелолист, тростник и камыш, многие виды осок, а также зеленые водоросли.</w:t>
      </w:r>
    </w:p>
    <w:p w14:paraId="2AB7451E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3E34D57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Особенности планктонных сообществ</w:t>
      </w:r>
    </w:p>
    <w:p w14:paraId="521ADA59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B3756B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Зоопланктон верхне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части эстуария представляет собой исходно ладожский планктон, трансформированный в процессе переноса рекой Невой. Ряд озерных ладожских форм погибает в условиях текучих вод, не достигая Невской губы. Планктофауна Невской губы обогащается за счет проникно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вения сюда фитофильных форм и видов, в массе развивающихся в мелких водоемах и прудах, расположенных на прилегающих территориях. Примером могут служить многочисленные представители коловраток из рода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Brachionus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отсутствующие в пелагиали Ладожского озера.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Общее число видов зоопланктона, зарегистрированных в Невской губе с начала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XX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века по наши дни, близко к 400. Наибольшее видовое разнообразие характерно для коловраток, на долю которых приходится около 50% от общего списка видов зоопланктонных организмов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ерхней части эстуария.</w:t>
      </w:r>
    </w:p>
    <w:p w14:paraId="45063771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Видовое богатство фитопланктона в пресных водах вершины эстуария составляет 323 вида (по данным многолетних наблюдений В.Н. Никулиной).</w:t>
      </w:r>
    </w:p>
    <w:p w14:paraId="1A89D43A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3.3 Особенности бентосных сообществ</w:t>
      </w:r>
    </w:p>
    <w:p w14:paraId="349F774F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4B0DB0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Бентос Невской губы имеет совершенно особое значение для э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косистемы. В отличие от планктона, видовой и количественный состав зообентоса значительно меньше подвержен сезонным колебаниям и оказывает существенное влияние на жизнь мелководного водоема. Зообентос - удивительно разнообразная в таксономическом отношении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экологическая группа, включающая 17 классов животных (без учета простейших и паразитических форм), причем, например, класс насекомых в бентосе представлен 11 отрядами, а отряд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Diptera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- 22 семействами.</w:t>
      </w:r>
    </w:p>
    <w:p w14:paraId="6FD07B41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Донная фауна мелководной зоны Финского залива предста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влена преимущественно пресноводными и эвригалинными видами. По числу видов доминируют олигохеты. Они же с 1993 года преобладают и по биомассе, тогда как до того времени основная часть биомассы приходилась на хирономид. Увеличение биомассы олигохет совпадае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 с органическим загрязнением мелководной зоны. В 1989 году в мелководной зоне был зарегистрирован моллюск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Dreissena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polymorpha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представляющий потенциальную угрозу стабильности мелководных экосистем. Разнообразие видов зообентоса уменьшается на глубоковод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ных участках залива. </w:t>
      </w:r>
    </w:p>
    <w:p w14:paraId="2C155E48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ACEB8C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Глава 4. Проблема загрязнения вод Невской Губы</w:t>
      </w:r>
    </w:p>
    <w:p w14:paraId="7792EB0D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A50463C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начале ХХ века в Невской губе еще были многочисленны чувствительные к загрязнению виды: ракообразные Понтопорея (Monoporeia affinis), Паллазея (Pallasea quadrispinosa) и Мизида (Mysi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s relicta). К тридцатым годам они исчезли. Зато в больших количествах появились олигохеты - малощетинковые черви, многие из которых являются индикаторами сильного органического загрязнения. В 30-е годы на их долю приходилось более 90% биомассы донных орган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измов. Эта картина сохранилась и в дальнейшем, причем количество и биомасса олигохет возрастала вплоть до середины 80-х годов, когда их обилие начало снижаться, упав в 10 и более раз. Вероятно, это было связано с вводом в эксплуатацию городских очистных 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оружений: сначала Центральной станции аэрации, а затем и Северных очистных. Но, несмотря на проводящуюся очистку значительной части сточных вод города, малощетинковые черви и сейчас являются основной группой среди донных обитателей Невской губы: на их долю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приходится 70-99% общей численности и до 90% общей биомассы. Причем в основном встречаются Лимнодрилюс (Limnodrilus hoffmeisteri) и Потамотрикс (Potamothrix hammoniensis) - показатели высокой степени загрязнения воды и грунта. Олигохеты легко переносят 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только органическое загрязнение, они очень мало чувствительны и к токсичным веществам. Но даже их устойчивости не всегда хватает: на глубине, где грунты содержат максимальные количества тяжелых металлов, некоторые виды червей Спиросперма ферокс (Spirosper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ma ferox) в Невской губе почти полностью представлены аномальными особями: мелкими, имеющими на теле странные выросты. </w:t>
      </w:r>
    </w:p>
    <w:p w14:paraId="54A35705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Результаты исследований говорят о незначительном снижении поступления тяжелых металлов в Невскую губу со стоком реки Невы и ее рукавов 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 последние двадцать один год. Наибольшее количество железа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поступило в 1990 г.(12207 тонн), меди - в 2005 г. (478 тонн), свинца - в 1995 г. (397 тонн), марганца - в 2008 г. (1323 тонны) и кадмия - в 1992 г. (41 тонна).</w:t>
      </w:r>
    </w:p>
    <w:p w14:paraId="194E31E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7DC877C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Выводы</w:t>
      </w:r>
    </w:p>
    <w:p w14:paraId="12469ED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эстуария река нева макрофит</w:t>
      </w:r>
    </w:p>
    <w:p w14:paraId="3A47EB61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Благодаря сильному распреснению видовое разнообразие зоопланктона в Невской губе существенно превышает таковое в центральной Балтике и в западной части Финского залива. Такое разнообразие нехарактерно для большинства эстуариев, где способно обитать лишь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алое количество эвритопных видов.</w:t>
      </w:r>
    </w:p>
    <w:p w14:paraId="741DC33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Также, несмотря на принятую в марте 1974 г. представителями стран Балтики конвенцию по охране морской среды Балтийского моря (Хельсинкская конвенция) основные экологические проблемы Балтики остаются весьма актуальными. При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этом одной из главных экологических проблем как Балтийского моря в целом, так и восточной части Финского залива, включая Невскую губу, остается химическое загрязнение. </w:t>
      </w:r>
    </w:p>
    <w:p w14:paraId="34D66900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</w:p>
    <w:p w14:paraId="2086E70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Литература</w:t>
      </w:r>
    </w:p>
    <w:p w14:paraId="725938E6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</w:p>
    <w:p w14:paraId="63E8D573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ap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А.К. Бродский, М.В. Кудрявцева. Исследование влияния комплекса защитн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ых сооружений Санкт-Петербурга от наводнений на биоту эстуария реки Невы</w:t>
      </w:r>
    </w:p>
    <w:p w14:paraId="76518D64" w14:textId="77777777" w:rsidR="00000000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И.В. Телеш. Зоологический институт РАН, 2006. Влияние биологических инвазий на разнообразие и функционирование сообществ зоопланктона в эстуарных экосистемах Балтийского моря (обзо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р) </w:t>
      </w:r>
    </w:p>
    <w:p w14:paraId="31AA35C2" w14:textId="77777777" w:rsidR="00C62905" w:rsidRDefault="00C629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А.Р. Ляндзберг, А.В. Полоскин. Водные беспозвоночные Финского залива и близлежащих водоёмов.</w:t>
      </w:r>
    </w:p>
    <w:sectPr w:rsidR="00C6290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5A"/>
    <w:rsid w:val="0057195A"/>
    <w:rsid w:val="00C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EFA11"/>
  <w14:defaultImageDpi w14:val="0"/>
  <w15:docId w15:val="{B94D80AA-2250-407E-A992-E56DAF7E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1886</Words>
  <Characters>10754</Characters>
  <Application>Microsoft Office Word</Application>
  <DocSecurity>0</DocSecurity>
  <Lines>89</Lines>
  <Paragraphs>25</Paragraphs>
  <ScaleCrop>false</ScaleCrop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2025-11-28T05:22:00Z</dcterms:created>
  <dcterms:modified xsi:type="dcterms:W3CDTF">2025-11-28T05:22:00Z</dcterms:modified>
</cp:coreProperties>
</file>