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79F8" w14:textId="77777777" w:rsidR="003B2A24" w:rsidRDefault="00000000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Структурный подход к представлению и анализу нейропсихологической информации.</w:t>
      </w:r>
    </w:p>
    <w:p w14:paraId="084FE5FB" w14:textId="6CEB0E8C" w:rsidR="003B2A24" w:rsidRDefault="00000000">
      <w:pPr>
        <w:pStyle w:val="a4"/>
        <w:jc w:val="left"/>
        <w:rPr>
          <w:color w:val="000000"/>
        </w:rPr>
      </w:pPr>
      <w:r>
        <w:rPr>
          <w:color w:val="000000"/>
        </w:rPr>
        <w:t xml:space="preserve">Задачи медицинской диагностики, прогноза и классификации патологических состояний относятся и классу </w:t>
      </w:r>
      <w:proofErr w:type="spellStart"/>
      <w:r>
        <w:rPr>
          <w:color w:val="000000"/>
        </w:rPr>
        <w:t>слабоформализуемых</w:t>
      </w:r>
      <w:proofErr w:type="spellEnd"/>
      <w:r>
        <w:rPr>
          <w:color w:val="000000"/>
        </w:rPr>
        <w:t xml:space="preserve"> задач. Поэтому выявление и формализация знаний, составляющих опыт ведущих клиницистов, имеют исключительное значение для обучения и повышения квалификации рядовых и начинающих специалистов-медиков.</w:t>
      </w:r>
      <w:r>
        <w:rPr>
          <w:color w:val="000000"/>
        </w:rPr>
        <w:br/>
        <w:t xml:space="preserve">Накопленные в нейропсихологии знания позволяют подойти к созданию универсальной схемы представления информации с использованием подхода, в основе которого лежит синдромный анализ, позволяющий установить центральный механизм расстройства, связанный с поражением </w:t>
      </w:r>
      <w:proofErr w:type="spellStart"/>
      <w:r>
        <w:rPr>
          <w:color w:val="000000"/>
        </w:rPr>
        <w:t>пределенных</w:t>
      </w:r>
      <w:proofErr w:type="spellEnd"/>
      <w:r>
        <w:rPr>
          <w:color w:val="000000"/>
        </w:rPr>
        <w:t xml:space="preserve"> структур мозга [11].</w:t>
      </w:r>
      <w:r>
        <w:rPr>
          <w:color w:val="000000"/>
        </w:rPr>
        <w:br/>
        <w:t xml:space="preserve">Для решения этой задачи был проведен анализ, как собственных данных, так и материалов, представленных в работах других исследователей. Полученная информация позволила нам на современном уровне знаний описать системы мозга, принимающие участие в осуществлении высших психических функций (ВПФ); конкретные функции; симптомы, характеризующие нарушение этих функций; выраженность симптомов, а также пробы, выявляющие нарушения функций. </w:t>
      </w:r>
    </w:p>
    <w:p w14:paraId="7C367B36" w14:textId="77777777" w:rsidR="003B2A24" w:rsidRDefault="00000000">
      <w:pPr>
        <w:pStyle w:val="a4"/>
        <w:spacing w:after="240" w:afterAutospacing="0"/>
        <w:jc w:val="left"/>
        <w:rPr>
          <w:color w:val="000000"/>
        </w:rPr>
      </w:pPr>
      <w:r>
        <w:rPr>
          <w:b/>
          <w:bCs/>
          <w:color w:val="000000"/>
        </w:rPr>
        <w:t>Структурная организация нейропсихологических знаний.</w:t>
      </w:r>
      <w:r>
        <w:rPr>
          <w:color w:val="000000"/>
        </w:rPr>
        <w:br/>
      </w:r>
      <w:r>
        <w:rPr>
          <w:color w:val="000000"/>
        </w:rPr>
        <w:br/>
        <w:t>Для создания схемы представления нейропсихологической информации был использован метод структурной организации, состоящий в выявлении ключевых вопросов, ответы на которые полностью определяют принятие решения. Такой подход позволяет приблизиться к созданию базы знаний для экспертной системы.</w:t>
      </w:r>
      <w:r>
        <w:rPr>
          <w:color w:val="000000"/>
        </w:rPr>
        <w:br/>
        <w:t>Предложенная в работе схема является универ-сальной в том смысле, что она экстраполирует знания независимо от существующих концепций. Мы исходили из того, что для практики важна правильная квалификация сущности дефекта, а не его название.</w:t>
      </w:r>
      <w:r>
        <w:rPr>
          <w:color w:val="000000"/>
        </w:rPr>
        <w:br/>
        <w:t>Схема нейропсихологического исследования построена так, что позволяет осуществлять синдромный анализ расстройств. В основу положен морфологический принцип, т. е. связь между зоной поражения мозга и картиной расстройств, вызываемой этим очагом поражения. Этот принцип оправдал себя при описании неврологической и ЭЭГ-информации, но, главное, такой подход позволяет проводить сравнительный анализ всего комплекса клинических данных с данными нейропсихологии [8-10].</w:t>
      </w:r>
      <w:r>
        <w:rPr>
          <w:color w:val="000000"/>
        </w:rPr>
        <w:br/>
        <w:t xml:space="preserve">На схеме представлены структурные блоки, характеризующие функциональное значение отдельных </w:t>
      </w:r>
      <w:proofErr w:type="spellStart"/>
      <w:r>
        <w:rPr>
          <w:color w:val="000000"/>
        </w:rPr>
        <w:t>сиcтем</w:t>
      </w:r>
      <w:proofErr w:type="spellEnd"/>
      <w:r>
        <w:rPr>
          <w:color w:val="000000"/>
        </w:rPr>
        <w:t xml:space="preserve"> головного мозга как корковых, так и подкорковых структур мозга. С учетом значимости проблем афазий состояние речевой сферы было проработано более детально, и патологические речевые симптомы выделены в самостоятельную схему.</w:t>
      </w:r>
      <w:r>
        <w:rPr>
          <w:color w:val="000000"/>
        </w:rPr>
        <w:br/>
        <w:t>Для каждой зоны мозга дано описание центрального механизма расстройства. Приведем в качестве примера блоки описания височных отделов мозга: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Височные отделы мозга (42 и 22 вторичные поля)</w:t>
      </w:r>
      <w:r>
        <w:rPr>
          <w:color w:val="000000"/>
        </w:rPr>
        <w:br/>
      </w:r>
      <w:r>
        <w:rPr>
          <w:color w:val="000000"/>
        </w:rPr>
        <w:br/>
        <w:t>А. Нарушение слухового гнозиса (левое полу-</w:t>
      </w:r>
      <w:proofErr w:type="spellStart"/>
      <w:r>
        <w:rPr>
          <w:color w:val="000000"/>
        </w:rPr>
        <w:t>шарие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>а) сужение объема слухового восприятия: при оценке неречевых и речевых стимулов;</w:t>
      </w:r>
      <w:r>
        <w:rPr>
          <w:color w:val="000000"/>
        </w:rPr>
        <w:br/>
        <w:t xml:space="preserve">б) аритмия (нарушение восприятия и оценки акцентированных и </w:t>
      </w:r>
      <w:proofErr w:type="spellStart"/>
      <w:r>
        <w:rPr>
          <w:color w:val="000000"/>
        </w:rPr>
        <w:t>неакцентрированных</w:t>
      </w:r>
      <w:proofErr w:type="spellEnd"/>
      <w:r>
        <w:rPr>
          <w:color w:val="000000"/>
        </w:rPr>
        <w:t xml:space="preserve"> ритмов).</w:t>
      </w:r>
      <w:r>
        <w:rPr>
          <w:color w:val="000000"/>
        </w:rPr>
        <w:br/>
        <w:t>Б. Нарушение слухового неречевого гнозиса (правое полушарие)</w:t>
      </w:r>
      <w:r>
        <w:rPr>
          <w:color w:val="000000"/>
        </w:rPr>
        <w:br/>
        <w:t>а) нарушение слухового гнозиса:</w:t>
      </w:r>
      <w:r>
        <w:rPr>
          <w:color w:val="000000"/>
        </w:rPr>
        <w:br/>
        <w:t xml:space="preserve">1) </w:t>
      </w:r>
      <w:proofErr w:type="spellStart"/>
      <w:r>
        <w:rPr>
          <w:color w:val="000000"/>
        </w:rPr>
        <w:t>амузия</w:t>
      </w:r>
      <w:proofErr w:type="spellEnd"/>
      <w:r>
        <w:rPr>
          <w:color w:val="000000"/>
        </w:rPr>
        <w:t xml:space="preserve"> (нарушение узнавания мелодий):</w:t>
      </w:r>
      <w:r>
        <w:rPr>
          <w:color w:val="000000"/>
        </w:rPr>
        <w:br/>
        <w:t>2) аритмия (нарушение восприятия и оценки ритмической структуры заданного ритма, больше страдает восприятие неакцентированных ритмов);</w:t>
      </w:r>
      <w:r>
        <w:rPr>
          <w:color w:val="000000"/>
        </w:rPr>
        <w:br/>
        <w:t xml:space="preserve">3) слуховая агнозия (нарушение предметной отнесенности невербальных "шумов": шум </w:t>
      </w:r>
      <w:r>
        <w:rPr>
          <w:color w:val="000000"/>
        </w:rPr>
        <w:lastRenderedPageBreak/>
        <w:t>дождя, шагов, поезда и т. д.);</w:t>
      </w:r>
      <w:r>
        <w:rPr>
          <w:color w:val="000000"/>
        </w:rPr>
        <w:br/>
        <w:t>б) нарушение непосредственного запоминания (нарушение припоминания элементов ряда в заданной последовательности);</w:t>
      </w:r>
      <w:r>
        <w:rPr>
          <w:color w:val="000000"/>
        </w:rPr>
        <w:br/>
        <w:t xml:space="preserve">в), </w:t>
      </w:r>
      <w:proofErr w:type="spellStart"/>
      <w:r>
        <w:rPr>
          <w:color w:val="000000"/>
        </w:rPr>
        <w:t>диспросодия</w:t>
      </w:r>
      <w:proofErr w:type="spellEnd"/>
      <w:r>
        <w:rPr>
          <w:color w:val="000000"/>
        </w:rPr>
        <w:t xml:space="preserve"> речи;</w:t>
      </w:r>
      <w:r>
        <w:rPr>
          <w:color w:val="000000"/>
        </w:rPr>
        <w:br/>
        <w:t>1) нарушение восприятия интонационно-голосовой стороны речи (различение мужского и женского, знакомых голосов, интонации в речи);</w:t>
      </w:r>
      <w:r>
        <w:rPr>
          <w:color w:val="000000"/>
        </w:rPr>
        <w:br/>
        <w:t xml:space="preserve">2) нарушение просодики (вторично; монотонность речи, отсутствие смысловых и эмоциональных акцентов; </w:t>
      </w:r>
      <w:proofErr w:type="spellStart"/>
      <w:r>
        <w:rPr>
          <w:color w:val="000000"/>
        </w:rPr>
        <w:t>фоностения</w:t>
      </w:r>
      <w:proofErr w:type="spellEnd"/>
      <w:r>
        <w:rPr>
          <w:color w:val="000000"/>
        </w:rPr>
        <w:t>, голосовая лабильность).</w:t>
      </w:r>
      <w:r>
        <w:rPr>
          <w:color w:val="000000"/>
        </w:rPr>
        <w:br/>
        <w:t xml:space="preserve">Пробы: узнавание и </w:t>
      </w:r>
      <w:proofErr w:type="spellStart"/>
      <w:r>
        <w:rPr>
          <w:color w:val="000000"/>
        </w:rPr>
        <w:t>пропевание</w:t>
      </w:r>
      <w:proofErr w:type="spellEnd"/>
      <w:r>
        <w:rPr>
          <w:color w:val="000000"/>
        </w:rPr>
        <w:t xml:space="preserve"> знакомых мелодии; повторение ритмов: простых (два удара, три удара и т. п.) и сдвоенных (по два удара, по три удара и т. п.), ритмов акцентированных и неакцентированных; оценка предметной отнесенности невербальных звуков; чтение </w:t>
      </w:r>
      <w:proofErr w:type="spellStart"/>
      <w:r>
        <w:rPr>
          <w:color w:val="000000"/>
        </w:rPr>
        <w:t>эмоциональновыразительного</w:t>
      </w:r>
      <w:proofErr w:type="spellEnd"/>
      <w:r>
        <w:rPr>
          <w:color w:val="000000"/>
        </w:rPr>
        <w:t xml:space="preserve"> текста, понимание интонационно различных фраз текста на слух.</w:t>
      </w:r>
      <w:r>
        <w:rPr>
          <w:color w:val="000000"/>
        </w:rPr>
        <w:br/>
        <w:t>Из приведенного примера видно, что сначала дается определение центрального механизма расстройств, затем описание синдрома, включающего изложение первичных и вторичных симптомов. Поражения левого и правого полушария описываются отдельно. Кроме того, в схеме приводятся определения вводимых терминов, а в конце каждого раздела примеры проб, с помощью которых могут быть выявлены данные симптомы.</w:t>
      </w:r>
      <w:r>
        <w:rPr>
          <w:color w:val="000000"/>
        </w:rPr>
        <w:br/>
        <w:t>Для речевых расстройств, связанных с поражением височных отделов, информация в схеме представлена следующим образом:</w:t>
      </w:r>
      <w:r>
        <w:rPr>
          <w:color w:val="000000"/>
        </w:rPr>
        <w:br/>
      </w:r>
    </w:p>
    <w:p w14:paraId="5121CD30" w14:textId="77777777" w:rsidR="003B2A24" w:rsidRDefault="00000000">
      <w:pPr>
        <w:pStyle w:val="a4"/>
        <w:spacing w:after="240" w:afterAutospacing="0"/>
        <w:jc w:val="left"/>
        <w:rPr>
          <w:color w:val="000000"/>
        </w:rPr>
      </w:pPr>
      <w:r>
        <w:rPr>
          <w:b/>
          <w:bCs/>
          <w:color w:val="000000"/>
        </w:rPr>
        <w:t>Височные отделы мозга (левое полушарие)</w:t>
      </w:r>
      <w:r>
        <w:rPr>
          <w:color w:val="000000"/>
        </w:rPr>
        <w:br/>
      </w:r>
      <w:r>
        <w:rPr>
          <w:color w:val="000000"/>
        </w:rPr>
        <w:br/>
        <w:t>Верхняя височная извилина</w:t>
      </w:r>
      <w:r>
        <w:rPr>
          <w:color w:val="000000"/>
        </w:rPr>
        <w:br/>
        <w:t xml:space="preserve">(зона "Вернике", задняя треть верхней </w:t>
      </w:r>
      <w:proofErr w:type="spellStart"/>
      <w:r>
        <w:rPr>
          <w:color w:val="000000"/>
        </w:rPr>
        <w:t>височ</w:t>
      </w:r>
      <w:proofErr w:type="spellEnd"/>
      <w:r>
        <w:rPr>
          <w:color w:val="000000"/>
        </w:rPr>
        <w:t>-ной извилины, 42 и 22 вторичные поля)</w:t>
      </w:r>
      <w:r>
        <w:rPr>
          <w:color w:val="000000"/>
        </w:rPr>
        <w:br/>
      </w:r>
      <w:r>
        <w:rPr>
          <w:color w:val="000000"/>
        </w:rPr>
        <w:br/>
        <w:t>А. Нарушение фонематического слуха</w:t>
      </w:r>
      <w:r>
        <w:rPr>
          <w:color w:val="000000"/>
        </w:rPr>
        <w:br/>
        <w:t>Речевая агнозия - нарушение восприятия смыслоразличительных признаков русского языка на слух (оппозиционных фонем: звонких и глухих, ударных и безударных, твердых и мягких, проявляющееся в нарушении понимания при относительной сохранности чтения. Экспрессивная речь страдает вторично.</w:t>
      </w:r>
      <w:r>
        <w:rPr>
          <w:color w:val="000000"/>
        </w:rPr>
        <w:br/>
        <w:t xml:space="preserve">а) нарушение </w:t>
      </w:r>
      <w:proofErr w:type="spellStart"/>
      <w:r>
        <w:rPr>
          <w:color w:val="000000"/>
        </w:rPr>
        <w:t>импрессивной</w:t>
      </w:r>
      <w:proofErr w:type="spellEnd"/>
      <w:r>
        <w:rPr>
          <w:color w:val="000000"/>
        </w:rPr>
        <w:t xml:space="preserve"> речи (понимания речи):</w:t>
      </w:r>
      <w:r>
        <w:rPr>
          <w:color w:val="000000"/>
        </w:rPr>
        <w:br/>
        <w:t>1) нарушение понимания инструкций, простых предложений, текстов;</w:t>
      </w:r>
      <w:r>
        <w:rPr>
          <w:color w:val="000000"/>
        </w:rPr>
        <w:br/>
        <w:t xml:space="preserve">2) отчуждение смысла слова (нарушение </w:t>
      </w:r>
      <w:proofErr w:type="spellStart"/>
      <w:r>
        <w:rPr>
          <w:color w:val="000000"/>
        </w:rPr>
        <w:t>диф-ференциации</w:t>
      </w:r>
      <w:proofErr w:type="spellEnd"/>
      <w:r>
        <w:rPr>
          <w:color w:val="000000"/>
        </w:rPr>
        <w:t xml:space="preserve"> значения слов по звуковому - "день-тень", "коса-лиса", и смысловому - "рукав-воротник", сходству);</w:t>
      </w:r>
      <w:r>
        <w:rPr>
          <w:color w:val="000000"/>
        </w:rPr>
        <w:br/>
        <w:t>3) нарушение восприятия отдельных оппозиционных фонем на слух;</w:t>
      </w:r>
      <w:r>
        <w:rPr>
          <w:color w:val="000000"/>
        </w:rPr>
        <w:br/>
        <w:t>б) Нарушение экспрессивной (спонтанной) речи (просодика: ритм, интонация - сохранна):</w:t>
      </w:r>
      <w:r>
        <w:rPr>
          <w:color w:val="000000"/>
        </w:rPr>
        <w:br/>
        <w:t>1) литеральная парафазия (в замене звуков или слогов в слове по оппозиционному типу при сохранном рисунке слова; замена на другое слово, близкое по звучанию);</w:t>
      </w:r>
      <w:r>
        <w:rPr>
          <w:color w:val="000000"/>
        </w:rPr>
        <w:br/>
        <w:t>2) вербальная парафазия (замена слова на близкое по значению, т. е. из того же семантического поля, например, вместо "брюки" - "галстук");</w:t>
      </w:r>
      <w:r>
        <w:rPr>
          <w:color w:val="000000"/>
        </w:rPr>
        <w:br/>
        <w:t xml:space="preserve">3) </w:t>
      </w:r>
      <w:proofErr w:type="spellStart"/>
      <w:r>
        <w:rPr>
          <w:color w:val="000000"/>
        </w:rPr>
        <w:t>логорея</w:t>
      </w:r>
      <w:proofErr w:type="spellEnd"/>
      <w:r>
        <w:rPr>
          <w:color w:val="000000"/>
        </w:rPr>
        <w:t xml:space="preserve"> (многословие, речевая расторможен-</w:t>
      </w:r>
      <w:proofErr w:type="spellStart"/>
      <w:r>
        <w:rPr>
          <w:color w:val="000000"/>
        </w:rPr>
        <w:t>ность</w:t>
      </w:r>
      <w:proofErr w:type="spellEnd"/>
      <w:r>
        <w:rPr>
          <w:color w:val="000000"/>
        </w:rPr>
        <w:t>);</w:t>
      </w:r>
      <w:r>
        <w:rPr>
          <w:color w:val="000000"/>
        </w:rPr>
        <w:br/>
        <w:t>4) "</w:t>
      </w:r>
      <w:proofErr w:type="spellStart"/>
      <w:r>
        <w:rPr>
          <w:color w:val="000000"/>
        </w:rPr>
        <w:t>жаргонофазия</w:t>
      </w:r>
      <w:proofErr w:type="spellEnd"/>
      <w:r>
        <w:rPr>
          <w:color w:val="000000"/>
        </w:rPr>
        <w:t>" (словесный "салат", грубая трансформация образа слова).</w:t>
      </w:r>
      <w:r>
        <w:rPr>
          <w:color w:val="000000"/>
        </w:rPr>
        <w:br/>
        <w:t>Пробы: повторение слов, звуков, фраз (с звуковым и смысловым сходством); называние частотных и малочастотных слов; понимание инструкций, предложений, слов; письмо самостоятельное и под диктовку.</w:t>
      </w:r>
    </w:p>
    <w:p w14:paraId="18C98CF9" w14:textId="77777777" w:rsidR="003B2A24" w:rsidRDefault="00000000">
      <w:pPr>
        <w:pStyle w:val="a4"/>
        <w:jc w:val="left"/>
        <w:rPr>
          <w:color w:val="000000"/>
        </w:rPr>
      </w:pPr>
      <w:r>
        <w:rPr>
          <w:b/>
          <w:bCs/>
          <w:color w:val="000000"/>
        </w:rPr>
        <w:t>Средняя височная извилина (21 и частично 37 третичные поля)</w:t>
      </w:r>
      <w:r>
        <w:rPr>
          <w:color w:val="000000"/>
        </w:rPr>
        <w:br/>
      </w:r>
      <w:r>
        <w:rPr>
          <w:color w:val="000000"/>
        </w:rPr>
        <w:br/>
        <w:t>В. Нарушение слухоречевой памяти</w:t>
      </w:r>
      <w:r>
        <w:rPr>
          <w:color w:val="000000"/>
        </w:rPr>
        <w:br/>
        <w:t>а) сужение объема слухоречевой памяти на слова;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б) тормози </w:t>
      </w:r>
      <w:proofErr w:type="spellStart"/>
      <w:r>
        <w:rPr>
          <w:color w:val="000000"/>
        </w:rPr>
        <w:t>мость</w:t>
      </w:r>
      <w:proofErr w:type="spellEnd"/>
      <w:r>
        <w:rPr>
          <w:color w:val="000000"/>
        </w:rPr>
        <w:t xml:space="preserve"> следов:</w:t>
      </w:r>
      <w:r>
        <w:rPr>
          <w:color w:val="000000"/>
        </w:rPr>
        <w:br/>
        <w:t>1) проактивное торможение (старая информация тормозит припоминание новой);</w:t>
      </w:r>
      <w:r>
        <w:rPr>
          <w:color w:val="000000"/>
        </w:rPr>
        <w:br/>
        <w:t>2) ретроактивное торможение (новая информация тормозит припоминание старой);</w:t>
      </w:r>
      <w:r>
        <w:rPr>
          <w:color w:val="000000"/>
        </w:rPr>
        <w:br/>
        <w:t>в) прочность следов:</w:t>
      </w:r>
      <w:r>
        <w:rPr>
          <w:color w:val="000000"/>
        </w:rPr>
        <w:br/>
        <w:t>1) нарушение непосредственного запоминания;</w:t>
      </w:r>
      <w:r>
        <w:rPr>
          <w:color w:val="000000"/>
        </w:rPr>
        <w:br/>
        <w:t>2) нарушение отсроченного запоминания;</w:t>
      </w:r>
      <w:r>
        <w:rPr>
          <w:color w:val="000000"/>
        </w:rPr>
        <w:br/>
        <w:t>г) вербальная парафазия (замена искомого слова другим; опускание наименований в спонтанной речи; подсказка не всегда эффективна);</w:t>
      </w:r>
      <w:r>
        <w:rPr>
          <w:color w:val="000000"/>
        </w:rPr>
        <w:br/>
        <w:t>д) нарушение понимания (нарушение понимания значения слов из одного семантического поля, например, "шапка, ушанка, кепка", при сохранности фонематического слуха).</w:t>
      </w:r>
      <w:r>
        <w:rPr>
          <w:color w:val="000000"/>
        </w:rPr>
        <w:br/>
        <w:t>Пробы: непосредственное и отсроченное припоминание серий из 3, 5, 10 слов или двух фраз; пересказ рассказа, двух рассказов; называние частотных и малочастотных предметов; составление рассказа, диалог.</w:t>
      </w:r>
      <w:r>
        <w:rPr>
          <w:color w:val="000000"/>
        </w:rPr>
        <w:br/>
      </w:r>
      <w:r>
        <w:rPr>
          <w:color w:val="000000"/>
        </w:rPr>
        <w:br/>
        <w:t>Из приведенных примеров видно, что принцип построения схемы обследования речевой функции такой же, как и при обследовании неречевой сферы.</w:t>
      </w:r>
      <w:r>
        <w:rPr>
          <w:color w:val="000000"/>
        </w:rPr>
        <w:br/>
        <w:t>Таким образом, в схеме:</w:t>
      </w:r>
      <w:r>
        <w:rPr>
          <w:color w:val="000000"/>
        </w:rPr>
        <w:br/>
        <w:t>- указаны зоны мозга, связанные с осуществлением высших психических функций;</w:t>
      </w:r>
      <w:r>
        <w:rPr>
          <w:color w:val="000000"/>
        </w:rPr>
        <w:br/>
        <w:t>- дано определение центрального механизма расстройства через нарушение специфической деятельности соответствующей структуры мозга;</w:t>
      </w:r>
      <w:r>
        <w:rPr>
          <w:color w:val="000000"/>
        </w:rPr>
        <w:br/>
        <w:t>- приведено описание первичных и вторичных нейропсихологических симптомов, в которых проявляется нарушение функции;</w:t>
      </w:r>
      <w:r>
        <w:rPr>
          <w:color w:val="000000"/>
        </w:rPr>
        <w:br/>
        <w:t>- отражена проблема функциональной асимметрии - разведены симптомы поражения левого и правого полушарий головного мозга.</w:t>
      </w:r>
      <w:r>
        <w:rPr>
          <w:color w:val="000000"/>
        </w:rPr>
        <w:br/>
        <w:t>Во всех случаях, где это было необходимо и возможно, пространство признаков было упорядочено от простых к сложным и от легких к более грубым, что отражено в нумерации подпунктов.</w:t>
      </w:r>
      <w:r>
        <w:rPr>
          <w:color w:val="000000"/>
        </w:rPr>
        <w:br/>
        <w:t>Выраженность нарушений оценивалась по 3-балльной системе как качественно, так и количественно:</w:t>
      </w:r>
      <w:r>
        <w:rPr>
          <w:color w:val="000000"/>
        </w:rPr>
        <w:br/>
        <w:t>0 - нарушения отсутствуют;</w:t>
      </w:r>
      <w:r>
        <w:rPr>
          <w:color w:val="000000"/>
        </w:rPr>
        <w:br/>
        <w:t>1 - легкие нарушения (неправильных ответов менее 30%);</w:t>
      </w:r>
      <w:r>
        <w:rPr>
          <w:color w:val="000000"/>
        </w:rPr>
        <w:br/>
        <w:t>2 - средней тяжести (неправильных ответов от 30 до 70%);</w:t>
      </w:r>
      <w:r>
        <w:rPr>
          <w:color w:val="000000"/>
        </w:rPr>
        <w:br/>
        <w:t>3 - грубые (неправильных ответов более 70%),</w:t>
      </w:r>
      <w:r>
        <w:rPr>
          <w:color w:val="000000"/>
        </w:rPr>
        <w:br/>
        <w:t>а при необходимости с помощью промежуточных градаций: 0-1, 1-2, 2-3.</w:t>
      </w:r>
      <w:r>
        <w:rPr>
          <w:color w:val="000000"/>
        </w:rPr>
        <w:br/>
      </w:r>
      <w:r>
        <w:rPr>
          <w:color w:val="000000"/>
        </w:rPr>
        <w:br/>
        <w:t>В своей работе мы использовали неоднократно подтвержденную, принятую большинством специалистов информацию о симптомах, поэтому недостаточно верифицированные или имеющие на сегодняшний день неоднозначную трактовку симптомы не вошли в схему.</w:t>
      </w:r>
      <w:r>
        <w:rPr>
          <w:color w:val="000000"/>
        </w:rPr>
        <w:br/>
        <w:t xml:space="preserve">Применение схемы </w:t>
      </w:r>
      <w:proofErr w:type="spellStart"/>
      <w:r>
        <w:rPr>
          <w:color w:val="000000"/>
        </w:rPr>
        <w:t>иейропсихологического</w:t>
      </w:r>
      <w:proofErr w:type="spellEnd"/>
      <w:r>
        <w:rPr>
          <w:color w:val="000000"/>
        </w:rPr>
        <w:t xml:space="preserve"> обследования в комплексном клиническом анализе для диагностики речевых расстройств и прогноза их восстановления у больных с последствиями ишемического инсульта Представленная выше схема нейропсихологического обследования является частью более широкой работы, направленной на сопоставление всего комплекса клинических данных для уточнения диагностики и прогнозирования динамики восстановления ВПФ.</w:t>
      </w:r>
      <w:r>
        <w:rPr>
          <w:color w:val="000000"/>
        </w:rPr>
        <w:br/>
        <w:t xml:space="preserve">Разработка и апробация схемы проводились в Центре патологии речи и нейрореабилитации. Для этого были использованы результаты </w:t>
      </w:r>
      <w:proofErr w:type="spellStart"/>
      <w:r>
        <w:rPr>
          <w:color w:val="000000"/>
        </w:rPr>
        <w:t>нейропснхологического</w:t>
      </w:r>
      <w:proofErr w:type="spellEnd"/>
      <w:r>
        <w:rPr>
          <w:color w:val="000000"/>
        </w:rPr>
        <w:t xml:space="preserve"> обследования 23 больных с афазиями, перенесших острое нарушение мозгового кровообращения [10]. </w:t>
      </w:r>
      <w:r>
        <w:rPr>
          <w:color w:val="000000"/>
        </w:rPr>
        <w:br/>
        <w:t>Возраст больных от 16 до 60 лет. С учетом повторного поступления были проанализированы 55 протоколов нейропсихологического тестирования, а также ЭЭГ и неврологического обследования. Диагноз верифицирован по результатам компьютерной (КТ) и эмиссионной компьютерной (ЭКТ) томографии.</w:t>
      </w:r>
      <w:r>
        <w:rPr>
          <w:color w:val="000000"/>
        </w:rPr>
        <w:br/>
        <w:t xml:space="preserve">По данным КТ и ЭКТ практически у всех больных нарушения отмечались в проекции </w:t>
      </w:r>
      <w:r>
        <w:rPr>
          <w:color w:val="000000"/>
        </w:rPr>
        <w:lastRenderedPageBreak/>
        <w:t xml:space="preserve">теменно-височной области белого вещества мозга левого полушария в бассейне средней мозговой артерии, что свидетельствует о поражении связей коры с подкорковыми структурами. Сочетание речевых расстройств с правосторонним гемипарезом, по данным </w:t>
      </w:r>
      <w:proofErr w:type="spellStart"/>
      <w:r>
        <w:rPr>
          <w:color w:val="000000"/>
        </w:rPr>
        <w:t>нервологического</w:t>
      </w:r>
      <w:proofErr w:type="spellEnd"/>
      <w:r>
        <w:rPr>
          <w:color w:val="000000"/>
        </w:rPr>
        <w:t xml:space="preserve"> обследования, подтверждает вывод о ведущем нарушении проводящей системы.</w:t>
      </w:r>
      <w:r>
        <w:rPr>
          <w:color w:val="000000"/>
        </w:rPr>
        <w:br/>
        <w:t>Совместное рассмотрение результатов неврологического, ЭЭГ-, ЭКТ- и КТ-обследований показало, что при поражении проводящих путей между корой и подкорковыми структурами вследствие ишемического инсульта характер локальных изменений электрической активности (ЭА) на ЭЭГ зависел от размера площади поражения и степени снижения кровообращения. Наиболее выраженные изменения ЭА в виде полиморфных дельта - и дельта, бета колебаний в процессе уменьшения очага поражения и улучшения кровообращения сменялись острыми волнами альфа и бета - диапазонов, которые могут рассматриваться как резидуальные [9].</w:t>
      </w:r>
      <w:r>
        <w:rPr>
          <w:color w:val="000000"/>
        </w:rPr>
        <w:br/>
        <w:t>Сравнение выраженности ведущего нарушения речи с характером локальных изменений ЭА показало, что грубые речевые расстройства (3-й, 2-3-й степени) независимо от формы афазии всегда сопровождались полиморфными дельта - и дельта, бета - колебаниями на ЭЭГ, что указывало на обширный очаг поражения. Многократная логотерапия, проводимая таким больным в течение 6-11 лет, была практически неэффективна. И, наоборот, при резидуальных изменениях ЭА независимо от сроков заболевания и длительности лечения наблюдалась положительная речевая динамика. Данные приведены в таблице.</w:t>
      </w:r>
      <w:r>
        <w:rPr>
          <w:color w:val="000000"/>
        </w:rPr>
        <w:br/>
      </w:r>
      <w:r>
        <w:rPr>
          <w:color w:val="000000"/>
        </w:rPr>
        <w:br/>
        <w:t>Таким образом, совместный анализ нейропсихологических и ЭЭГ-данных позволил не только выявить прогностические критерии восстановления высших психических функций, в данном случае речевых, но и связать их с функциональным состоянием соответствующих структур мозга.</w:t>
      </w:r>
      <w:r>
        <w:rPr>
          <w:color w:val="000000"/>
        </w:rPr>
        <w:br/>
        <w:t>Наибольший интерес из-за выраженности нарушений и трудностей ее дифференциальной диагностики представила группа из 16 больных (45 наблюдений) с динамической и семантической афазиями, причем у 12 человек имела место смешанная форма речевых расстройств, у 4 - динамическая.</w:t>
      </w:r>
      <w:r>
        <w:rPr>
          <w:color w:val="000000"/>
        </w:rPr>
        <w:br/>
        <w:t xml:space="preserve">Сопоставление локальных изменений ЭА и результатов наблюдения за состоянием речевых функций больных в динамике показало, что сочетанный характер динамической и семантической афазий не зависел от локализации очага поражения по ЭЭГ-данным: у 3 больных очаг в лобно-центральных или </w:t>
      </w:r>
      <w:proofErr w:type="spellStart"/>
      <w:r>
        <w:rPr>
          <w:color w:val="000000"/>
        </w:rPr>
        <w:t>передневисочных</w:t>
      </w:r>
      <w:proofErr w:type="spellEnd"/>
      <w:r>
        <w:rPr>
          <w:color w:val="000000"/>
        </w:rPr>
        <w:t xml:space="preserve"> отделах, у 4 - в задневисочных или височно-теменных, у 9 больных - два очага.</w:t>
      </w:r>
      <w:r>
        <w:rPr>
          <w:color w:val="000000"/>
        </w:rPr>
        <w:br/>
        <w:t xml:space="preserve">Однако сравнение результатов ЭЭГ- и нейропсихологического обследования позволило отделить ведущую форму афазии от вторичной. Поскольку у всех 3 больных локальные изменения ЭА в лобно-центральных или </w:t>
      </w:r>
      <w:proofErr w:type="spellStart"/>
      <w:r>
        <w:rPr>
          <w:color w:val="000000"/>
        </w:rPr>
        <w:t>передневисочных</w:t>
      </w:r>
      <w:proofErr w:type="spellEnd"/>
      <w:r>
        <w:rPr>
          <w:color w:val="000000"/>
        </w:rPr>
        <w:t xml:space="preserve"> отделах коры при первом поступлении сопровождались нарушением ВПФ, свидетельствующим о массивном поражении лобных долей, а у всех 4 больных с очагом на ЭЭГ в задневисочных или височно-теменных отделах только симптомами локальных нарушений заднелобного отдела, то в первом случае можно говорить - о ведущей роли динамической афазии, а во втором о ее вторичности по отношению к семантической афазии.</w:t>
      </w:r>
      <w:r>
        <w:rPr>
          <w:color w:val="000000"/>
        </w:rPr>
        <w:br/>
      </w:r>
      <w:proofErr w:type="spellStart"/>
      <w:r>
        <w:rPr>
          <w:color w:val="000000"/>
        </w:rPr>
        <w:t>Сочетанныи</w:t>
      </w:r>
      <w:proofErr w:type="spellEnd"/>
      <w:r>
        <w:rPr>
          <w:color w:val="000000"/>
        </w:rPr>
        <w:t xml:space="preserve"> характер этих двух видов речевых расстройств можно объяснить двусторонними ассоциативными связями.</w:t>
      </w:r>
      <w:r>
        <w:rPr>
          <w:color w:val="000000"/>
        </w:rPr>
        <w:br/>
        <w:t>Дифференциация первичного дефекта от вторичною необходима для выбора адекватных методов коррекции, а правильная диагностика является важнейшей отправной точкой реабилитации высших психических функций.</w:t>
      </w:r>
      <w:r>
        <w:rPr>
          <w:color w:val="000000"/>
        </w:rPr>
        <w:br/>
        <w:t>Таким образом, проведенный структурный анализ комплекса клинических и нейропсихологических данных позволил выявить прогностические и диагностические критерии для оценки восстановления речи у больных с локальным поражением головного мозга. Предложенная схема представления нейропсихологической o информации имеет ряд достоинств:</w:t>
      </w:r>
      <w:r>
        <w:rPr>
          <w:color w:val="000000"/>
        </w:rPr>
        <w:br/>
      </w:r>
      <w:r>
        <w:rPr>
          <w:color w:val="000000"/>
        </w:rPr>
        <w:lastRenderedPageBreak/>
        <w:t>при заполнении схемы формируются нейропсихологические синдромы, которые и представляют собой диагноз; сама схема, включая определения, примеры и собранные данные, является основой базы знаний для экспертной системы;</w:t>
      </w:r>
      <w:r>
        <w:rPr>
          <w:color w:val="000000"/>
        </w:rPr>
        <w:br/>
        <w:t>поскольку в основе схемы лежат экспертные знания, ее можно использовать при обучении молодых специалистов;</w:t>
      </w:r>
      <w:r>
        <w:rPr>
          <w:color w:val="000000"/>
        </w:rPr>
        <w:br/>
        <w:t>особенности представления информации в виде функциональных блоков, связанных с определенными структурами мозга, обеспечивают эффективное сопоставление с данными неврологического, ЭЭГ- и инвазивных методов обследования, что особенно важно в условиях клиники.</w:t>
      </w:r>
    </w:p>
    <w:p w14:paraId="0731DA78" w14:textId="77777777" w:rsidR="003B2A24" w:rsidRDefault="003B2A24">
      <w:pPr>
        <w:rPr>
          <w:sz w:val="24"/>
          <w:szCs w:val="24"/>
        </w:rPr>
      </w:pPr>
    </w:p>
    <w:p w14:paraId="1E96CEF0" w14:textId="77777777" w:rsidR="00FD5C7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proofErr w:type="spellStart"/>
      <w:r>
        <w:rPr>
          <w:color w:val="2E2E2E"/>
          <w:sz w:val="24"/>
          <w:szCs w:val="24"/>
        </w:rPr>
        <w:t>И.П.Лукашевича</w:t>
      </w:r>
      <w:proofErr w:type="spellEnd"/>
      <w:r>
        <w:rPr>
          <w:color w:val="2E2E2E"/>
          <w:sz w:val="24"/>
          <w:szCs w:val="24"/>
        </w:rPr>
        <w:t xml:space="preserve">, </w:t>
      </w:r>
      <w:proofErr w:type="spellStart"/>
      <w:r>
        <w:rPr>
          <w:color w:val="2E2E2E"/>
          <w:sz w:val="24"/>
          <w:szCs w:val="24"/>
        </w:rPr>
        <w:t>К.М.Шипковой</w:t>
      </w:r>
      <w:proofErr w:type="spellEnd"/>
      <w:r>
        <w:rPr>
          <w:color w:val="2E2E2E"/>
          <w:sz w:val="24"/>
          <w:szCs w:val="24"/>
        </w:rPr>
        <w:t xml:space="preserve">, </w:t>
      </w:r>
      <w:proofErr w:type="spellStart"/>
      <w:r>
        <w:rPr>
          <w:color w:val="2E2E2E"/>
          <w:sz w:val="24"/>
          <w:szCs w:val="24"/>
        </w:rPr>
        <w:t>В.М.Шкловского</w:t>
      </w:r>
      <w:proofErr w:type="spellEnd"/>
    </w:p>
    <w:sectPr w:rsidR="00FD5C7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1"/>
    <w:rsid w:val="003B2A24"/>
    <w:rsid w:val="008348B9"/>
    <w:rsid w:val="008C762D"/>
    <w:rsid w:val="00D521C1"/>
    <w:rsid w:val="00EE264B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4B518"/>
  <w14:defaultImageDpi w14:val="0"/>
  <w15:docId w15:val="{EB092071-E034-4588-BD5C-6351EDDB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2041</Words>
  <Characters>11636</Characters>
  <Application>Microsoft Office Word</Application>
  <DocSecurity>0</DocSecurity>
  <Lines>96</Lines>
  <Paragraphs>27</Paragraphs>
  <ScaleCrop>false</ScaleCrop>
  <Company>KM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Структурный подход к представлению и анализу нейропсихологической информации</dc:title>
  <dc:subject/>
  <dc:creator>N/A</dc:creator>
  <cp:keywords/>
  <dc:description/>
  <cp:lastModifiedBy>Пользователь</cp:lastModifiedBy>
  <cp:revision>3</cp:revision>
  <dcterms:created xsi:type="dcterms:W3CDTF">2025-11-23T16:20:00Z</dcterms:created>
  <dcterms:modified xsi:type="dcterms:W3CDTF">2025-11-23T16:32:00Z</dcterms:modified>
</cp:coreProperties>
</file>