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C9" w:rsidRPr="00F922C9" w:rsidRDefault="00F922C9" w:rsidP="00F922C9">
      <w:pPr>
        <w:shd w:val="clear" w:color="auto" w:fill="FFFFFF"/>
        <w:spacing w:after="15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13B47"/>
          <w:sz w:val="27"/>
          <w:szCs w:val="27"/>
          <w:lang w:eastAsia="ru-RU"/>
        </w:rPr>
      </w:pPr>
      <w:r w:rsidRPr="00F922C9">
        <w:rPr>
          <w:rFonts w:ascii="Times New Roman" w:eastAsia="Times New Roman" w:hAnsi="Times New Roman" w:cs="Times New Roman"/>
          <w:b/>
          <w:bCs/>
          <w:color w:val="313B47"/>
          <w:sz w:val="27"/>
          <w:szCs w:val="27"/>
          <w:lang w:eastAsia="ru-RU"/>
        </w:rPr>
        <w:t>Длительное применение ацетилсалициловой кислоты. Подходы к повышению приверженности терапии.</w:t>
      </w:r>
    </w:p>
    <w:p w:rsidR="00F922C9" w:rsidRPr="00F922C9" w:rsidRDefault="00F922C9" w:rsidP="00F922C9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noProof/>
          <w:color w:val="141B22"/>
          <w:sz w:val="21"/>
          <w:szCs w:val="21"/>
          <w:lang w:eastAsia="ru-RU"/>
        </w:rPr>
        <w:drawing>
          <wp:inline distT="0" distB="0" distL="0" distR="0" wp14:anchorId="189C6662" wp14:editId="40E42CA9">
            <wp:extent cx="3276600" cy="2457450"/>
            <wp:effectExtent l="0" t="0" r="0" b="0"/>
            <wp:docPr id="1" name="Рисунок 1" descr="https://con-med.ru/upload/iblock/415/65666_picture_82d5c723cec9580ac3d21e30a7d4e9e78e5850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-med.ru/upload/iblock/415/65666_picture_82d5c723cec9580ac3d21e30a7d4e9e78e58500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В рамках Европейского конгресса по сердечной недостаточности «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Heart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Failure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» в Париже под председательством профессора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Перепеча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Н.Б. 29 апреля 2017 года прошел круглый стол экспертов, посвященный проблеме приверженности терапии при длительном применении ацетилсалициловой кислоты (АСК).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Эксперты  констатировали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, что АСК остается препаратом первого выбора для профилактики ишемических событий при наличии сердечно-сосудистого заболевания. Согласно российским и международным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рекомендациям  по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ведению больных со стабильной ишемической болезнью сердца (ИБС) и острым коронарным синдромом (ОКС), применение АСК показано всем пациентам (при отсутствии противопоказаний) при самом высоком классе рекомендаций и уровне доказанности- 1 A [1-5].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Болезни системы кровообращения занимают лидирующую позицию в структуре причин смерти населения индустриальных стран.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Бόльшая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часть смертей происходит по причине ИБС, в том числе инфаркта миокарда, а также цереброваскулярной патологии [6]. Несмотря на то, что терапия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АСК  таким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пациентам должна проводиться неопределенно долгое время, одной из самых сложных проблем вторичной профилактики  ИБС является приверженность к назначенному лечению. Так, по данным российского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проспективного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фармакоэпидемиологического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исследования ФОРПОСТ, 74,9% пациентов после ОКС сообщали, что приостанавливали или полностью прекращали прием АСК. При этом до четверти больных полностью прекращали терапию препаратом по причине нежелательных явлений со стороны желудочно-кишечного тракта (ЖКТ) [7]. Таким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образом,  повышение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приверженности может быть достигнуто путем улучшения переносимости АСК со стороны ЖКТ.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Предотвращая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образование  Тромбоксана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А</w:t>
      </w:r>
      <w:r w:rsidRPr="00F922C9">
        <w:rPr>
          <w:rFonts w:ascii="Arial" w:eastAsia="Times New Roman" w:hAnsi="Arial" w:cs="Arial"/>
          <w:color w:val="141B22"/>
          <w:sz w:val="16"/>
          <w:szCs w:val="16"/>
          <w:vertAlign w:val="subscript"/>
          <w:lang w:eastAsia="ru-RU"/>
        </w:rPr>
        <w:t>2 </w:t>
      </w: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-мощнейшего стимулятора тромбоцитов,  АСК необратимо блокирует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циклооксигеназу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-1, тем самым снижая возможность активации тромбоцита [8]. Если механизм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антитромбоцитарного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действия АСК хорошо известен,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то  механизмы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повреждающего действия этого соединения на ЖКТ часто остаются за рамками внимания врачей.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Повреждающее действие АСК обусловлено 2-мя основными механизмами- системным и местным. При системном воздействии АСК после всасывания блокирует синтез простагландинов, в том числе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простогландинов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Е</w:t>
      </w:r>
      <w:r w:rsidRPr="00F922C9">
        <w:rPr>
          <w:rFonts w:ascii="Arial" w:eastAsia="Times New Roman" w:hAnsi="Arial" w:cs="Arial"/>
          <w:color w:val="141B22"/>
          <w:sz w:val="16"/>
          <w:szCs w:val="16"/>
          <w:vertAlign w:val="subscript"/>
          <w:lang w:eastAsia="ru-RU"/>
        </w:rPr>
        <w:t>2 </w:t>
      </w: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(PgЕ</w:t>
      </w:r>
      <w:r w:rsidRPr="00F922C9">
        <w:rPr>
          <w:rFonts w:ascii="Arial" w:eastAsia="Times New Roman" w:hAnsi="Arial" w:cs="Arial"/>
          <w:color w:val="141B22"/>
          <w:sz w:val="16"/>
          <w:szCs w:val="16"/>
          <w:vertAlign w:val="subscript"/>
          <w:lang w:eastAsia="ru-RU"/>
        </w:rPr>
        <w:t>2</w:t>
      </w: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), которые участвуют в синтезе защитной слизи желудка. Это, в свою очередь, приводит к постепенному разрушению бикарбонатного слоя слизистой желудка и увеличивает риск повреждения его стенки. Данное отрицательное действие пытались уменьшить путем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снижения  дозы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АСК. Однако это дало эффект только в определенном диапазоне доз - оказалось, что различия по количеству больших кровотечений для доз АСК &lt;325 мг в сутки отсутствуют. Это объясняется тем, что воздействие на синтез простагландинов проявляется даже при использовании минимальных доз, вплоть до 10 мг в сутки [9]. Тем не менее, для доз ниже 150 мг в сутки отмечалась тенденция к уменьшению частоты кровотечений, поэтому данное значение стало рассматриваться в качестве верхней границей рекомендуемого диапазона доз. С другой стороны, эффективность доз менее 75 мг в сутки вызывает сомнения в связи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с  недостаточной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</w:t>
      </w: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lastRenderedPageBreak/>
        <w:t xml:space="preserve">доказательной базой. Как следствие, общепринятым коридором применяемых в кардиологии доз стали значения 75-150 мг в сутки при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монотерапии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АСК, и 75-100 мг в сутки при применении АСК в составе двойной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антиагрегантной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терапии [10-11].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Механизм местного повреждающего действия АСК, в свою очередь, также реализуется на 2-х этапах. Первый этап обусловлен кислой средой содержимого желудка - при рН среды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&lt; 3.5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бόльшая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часть молекул АСК не растворяется. При попадании таблетки внутрь желудка происходит прямой контакт частично фрагментированной АСК со слизистой, что приводит к повреждению стенки механическим путем (оседание кристаллов АСК на слизистой). Прием «незащищенной»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АСК  ведет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к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эндоскопически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наблюдаемым острым повреждениям слизистой желудка, отмечающимся в пределах 1 часа от момента приема таблетки [12-14]. Второй этап связан с внутриклеточным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накоплением  АСК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. Известно, что нерастворенная, но распавшаяся на отдельные молекулы АСК, находится в жирорастворимой форме, что позволяет ей проникнуть через липидную мембрану внутрь клеток стенки желудка. Внутриклеточное содержимое обладает нейтральной кислотностью, поэтому молекула АСК легко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диссоциирует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на ионы внутри клетки. Однако в ионизированном состоянии АСК не может покинуть пределов клетки и поэтому происходит процесс ее постепенного накопления во внутриклеточном пространстве, что в конечном итоге приводит к повреждению клеток слизистой желудка. Этот механизм получил название «ионного захвата» или «ионной ловушки» [8,15].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Первым и наиболее многообещающим подходом к улучшению толерантности ЖКТ к АСК являлось использование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кишечно-растворимой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оболочки. Обоснованием разработки этого подхода послужил факт, что АСК всасывается в тонком кишечнике и только незначительно (10%) в желудке.  Именно прямой контакт АСК со слизистой   желудка является причиной местного повреждающего действия. Кроме того, при применении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кишечно-растворимой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оболочки АСК попадает в наиболее благоприятную для растворения и всасывания среду - щелочную. Самым крупным опубликованным исследованием, подтверждающим снижение риска повреждения ЖКТ при использовании АСК в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кишечно-растворимой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оболочке, на сегодняшний день является проспективное эпидемиологическое исследование переносимости препарата Аспирин</w:t>
      </w:r>
      <w:r w:rsidRPr="00F922C9">
        <w:rPr>
          <w:rFonts w:ascii="Arial" w:eastAsia="Times New Roman" w:hAnsi="Arial" w:cs="Arial"/>
          <w:color w:val="141B22"/>
          <w:sz w:val="16"/>
          <w:szCs w:val="16"/>
          <w:vertAlign w:val="superscript"/>
          <w:lang w:eastAsia="ru-RU"/>
        </w:rPr>
        <w:t>®</w:t>
      </w: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 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Кардио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[15]. В рамках данного исследования более 1,5 тысяч пациентов, принимавших незащищенную АСК, перевели на прием Аспирин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Кардио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и продолжили за ними наблюдение в течение 2-х лет. Уже через 3 месяца отмечалось выраженное снижение количества жалоб на такие симптомы как дискомфорт в желудке или изжога. Спустя 2 года количество данных жалоб снизилось уже на 85% и 78% соответственно.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Вторым подходом к увеличению переносимости АСК со стороны ЖКТ традиционно является использование так называемых буферных форм этого соединения, где в качестве дополнительного компонента выступает слабое основание (обычно гидроксид магния). Использование буферной формы дополнительно снижает всасываемость АСК в желудке [12]. Добавление буфера в таблетку АСК направлено на то, чтобы ускорить ее эвакуацию из полости желудка в тонкий кишечник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. ,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ограничив тем самым продолжительность прямого повреждающего контакта слизистой желудка и АСК [16].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В  то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же время применение буферных форм не исключает прямой контакт АСК со слизистой желудка.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Отдельно обсуждался вопрос использования ингибиторов протонной помпы для снижения риска нежелательных явлений со стороны ЖКТ у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пациентов,  длительно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принимающих АСК. Принимая во внимание определенную противоречивость результатов клинических и экспериментальных исследований, участники круглого стола согласились с мнением, представленным в европейских рекомендациях, об обоснованности совместного назначения ингибиторов протонной помпы с двойной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антиагрегантной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терапией у пациентов после ОКС при наличии высокого риска желудочно-кишечных кровотечений (наличие желудочно-кишечных кровотечений или язвенная болезнь в анамнезе,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антикоагулянтная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терапия, постоянный прием других НПВС, кортикостероидов, или 2 и более из следующих критериев: возраст ≥ 65 лет, диспепсия, ГЭРБ,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H.Pylory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, злоупотребление алкоголем) [17]. В остальных случаях вопрос о целесообразности применения ингибиторов протонной помпы необходимо решать в индивидуальном порядке.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Эксперты отметили, что недостаточная эффективность вторичной профилактики ИБС (в том числе и длительное применение антиагрегантов) обусловлена не только низкой приверженностью пациентов назначениям врача, но и недостаточной приверженностью врачей действующим рекомендациям. Избыточное опасение развития нежелательных явлений фармакотерапии нередко становится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причиной  отмены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антиагрегантов в случаях, когда их </w:t>
      </w: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lastRenderedPageBreak/>
        <w:t xml:space="preserve">длительное применение абсолютно показано пациенту. Известно, что преждевременная отмена двойной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антиагрегантной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терапии у больных, перенесших ОКС, в 9 раз увеличивает риск смерти, но лишь в 79% случаев она обусловлена кровотечением, другими объективными (в том числе экономическими) и неизвестными причинами, в 3,4% случаев – решением или ошибкой пациента и в 17,6% - решением врача [17].  В связи с этим разъяснение соответствующих положений национальных и европейских рекомендаций, обсуждение с врачами механизмов прямого действия антиагрегантов, побочных эффектов этого класса препаратов и способов их предотвращения следует рассматривать как важнейшую задачу кафедр и образовательных центров, занимающихся повышением квалификации терапевтов и кардиологов.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 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b/>
          <w:bCs/>
          <w:color w:val="141B22"/>
          <w:sz w:val="21"/>
          <w:szCs w:val="21"/>
          <w:lang w:eastAsia="ru-RU"/>
        </w:rPr>
        <w:t>Заключение экспертов круглого стола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1.       Прекращение терапии АСК, обеспечивающей снижение риска обострений ИБС, часто обусловлено развитием нежелательных явлений со стороны ЖКТ.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2.       Снижение вероятности развития нежелательных явлений – важное условие обеспечения высокой приверженности пациентов к лечению АСК.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3.       При выборе длительной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антиагрегантной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терапии практическому врачу следует отдавать предпочтение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с минимальном количеством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нежелательных явлений.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4.       Кишечно-растворимая оболочка Аспирин </w:t>
      </w:r>
      <w:bookmarkStart w:id="0" w:name="_GoBack"/>
      <w:bookmarkEnd w:id="0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позволяет снизить количество нежелательных явлений со стороны ЖКТ в сравнении с другими препаратами АСК.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5.       С целью повышения приверженности врачей действующим рекомендациям по вторичной профилактике ИБС при проведении образовательных мероприятий для терапевтов и кардиологов необходимо обсуждать не только механизмы действия и результаты клинического применения антиагрегантов, но и способы снижения риска нежелательных эффектов терапии.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b/>
          <w:bCs/>
          <w:color w:val="141B22"/>
          <w:sz w:val="21"/>
          <w:szCs w:val="21"/>
          <w:lang w:eastAsia="ru-RU"/>
        </w:rPr>
        <w:t>Список участников круглого стола: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Андержанова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А.А. (Москва), Архипов М. В. (Екатеринбург), Вавилова И.М. (Магнитогорск), Жук В. С. (Санкт-Петербург), Кузин А. И. (Челябинск), Кузьмина-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Крутецкая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С. Р. (Санкт-Петербург),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Мясникова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Е. М. (Санкт-Петербург),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Недбайкин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А. М. (Брянск), Новикова Т. Н. (Санкт-Петербург), Олейников В. Э. (Пенза), Павлова Т. В. (Самара),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Перепеч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Н. Б. (Санкт-Петербург),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Рафф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С. А. (Краснодар), Ровда Е. Ю. (Москва),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Самакаев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А. С. (Ростов-на-Дону),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Спасенков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Г. Н. (Пермь),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Тренева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Г. О. (Ростов-на-Дону), Хасанов Н. Р. (Казань), Царева В. М. (Смоленск), Шатилов А. П. (Оренбург).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</w:p>
    <w:p w:rsidR="00F922C9" w:rsidRPr="00F922C9" w:rsidRDefault="00F922C9" w:rsidP="00F922C9">
      <w:pPr>
        <w:shd w:val="clear" w:color="auto" w:fill="FFFFFF"/>
        <w:spacing w:before="405" w:after="405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b/>
          <w:bCs/>
          <w:color w:val="141B22"/>
          <w:sz w:val="21"/>
          <w:szCs w:val="21"/>
          <w:lang w:eastAsia="ru-RU"/>
        </w:rPr>
        <w:t>Литература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1.       Национальные рекомендации ВНОК. Кардиоваскулярная профилактика. </w:t>
      </w: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2011 </w:t>
      </w: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г</w:t>
      </w: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2.       EA. Amsterdam et al. 2014 AHA/ACC Guideline for the Management of Patients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With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Non-ST-Elevation Acute Coronary, 2014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3.       Elliott M.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Antman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et al. ACC/AHA Guidelines for the Management of Patients With ST-Elevation Myocardial Infarction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..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2004;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4.       CW. Hamm et al. ESC Guidelines for the management of acute coronary syndromes in patients presenting without persistent ST-segment elevation. 2011.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5.       Ph. Gabriel Steg et al. ESC Guidelines for the management of acute myocardial infarction in patients presenting with ST-segment elevation. 2012.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6.       </w:t>
      </w:r>
      <w:hyperlink r:id="rId5" w:history="1">
        <w:r w:rsidRPr="00F922C9">
          <w:rPr>
            <w:rFonts w:ascii="Arial" w:eastAsia="Times New Roman" w:hAnsi="Arial" w:cs="Arial"/>
            <w:color w:val="005FB0"/>
            <w:sz w:val="21"/>
            <w:szCs w:val="21"/>
            <w:lang w:val="en-US" w:eastAsia="ru-RU"/>
          </w:rPr>
          <w:t>http://www.gks.ru/wps/wcm/connect/rosstat_main/rosstat/ru/statistics/population/demography/#</w:t>
        </w:r>
      </w:hyperlink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lastRenderedPageBreak/>
        <w:t xml:space="preserve">7.      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Багиков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А. Н.,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Рафальский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В. В. Значение приверженности пациентов к лечению при длительном приеме АСК у пациентов, перенесших ОНС: результаты исследования ФОРПОСТ. Кардиология</w:t>
      </w: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, 2012, 9 (52).  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8.      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Karsten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Schrör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. Acetylsalicylic Acid. P. 157. Published Online: 4 FEB 2009. DOI: 10.1002/9783527625994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9.       Cryer B. Effects of very low dose daily, long-term aspirin therapy on gastric, duodenal, and rectal prostaglandin levels and on mucosal injury in healthy humans. Gastroenterology. 1999 Jul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;117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(1):17-25.)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10.   Antithrombotic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Trialists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’ Collaboration. Collaborative meta-analysis of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randomised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trials of antiplatelet therapy for prevention of death, myocardial infarction, and stroke in 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high risk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patients. BMJ 2002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;324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: 71-86.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11.  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Montalescot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G. 2013 ESC guidelines on the management of stable coronary artery disease. European Heart Journal (2013) 34, 2949–3003.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12.   Cooke, A.R. and Hunt, J.N. (1970) Absorption of acetylsalicylic acid from unbuffered and buffered gastric contents. The American Journal of Digestive Diseases, 2, 95–102.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13.   Graham, D.Y. and Smith, J.L. (1986) Aspirin and the stomach. Annals of Internal Medicine, 104, 390–398.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14.   Cryer, B. and Feldman, M. (1999) Effects of very low dose daily, long-term aspirin therapy on gastric duodenal and rectal prostaglandin levels and on mucosal injury in healthy humans. Gastroenterology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,117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, 17–25.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15.   Darius H. Aspirin protect.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Anwendungsbeobachtung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dokumentiert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gute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Verträglichkeit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. Pharm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Ztg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 August 2006.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>16.   Levy G, Hayes B, “Physiochemical Basis of the Buffered Acetylsalicylic Acid Controversy New Engl. J. Med. 262:1053–1058 (1960)”—The Backstory. The AAPS Journal, Vol. 13, No. 3, September 2011.</w:t>
      </w:r>
    </w:p>
    <w:p w:rsidR="00F922C9" w:rsidRPr="00F922C9" w:rsidRDefault="00F922C9" w:rsidP="00F922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22"/>
          <w:sz w:val="21"/>
          <w:szCs w:val="21"/>
          <w:lang w:eastAsia="ru-RU"/>
        </w:rPr>
      </w:pPr>
      <w:r w:rsidRPr="00F922C9">
        <w:rPr>
          <w:rFonts w:ascii="Arial" w:eastAsia="Times New Roman" w:hAnsi="Arial" w:cs="Arial"/>
          <w:color w:val="141B22"/>
          <w:sz w:val="21"/>
          <w:szCs w:val="21"/>
          <w:lang w:val="en-US" w:eastAsia="ru-RU"/>
        </w:rPr>
        <w:t xml:space="preserve">17.   Rossini R. Et al.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Am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J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Coll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</w:t>
      </w:r>
      <w:proofErr w:type="spell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Cardiol</w:t>
      </w:r>
      <w:proofErr w:type="spell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 xml:space="preserve"> 2011</w:t>
      </w:r>
      <w:proofErr w:type="gramStart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;107:184</w:t>
      </w:r>
      <w:proofErr w:type="gramEnd"/>
      <w:r w:rsidRPr="00F922C9">
        <w:rPr>
          <w:rFonts w:ascii="Arial" w:eastAsia="Times New Roman" w:hAnsi="Arial" w:cs="Arial"/>
          <w:color w:val="141B22"/>
          <w:sz w:val="21"/>
          <w:szCs w:val="21"/>
          <w:lang w:eastAsia="ru-RU"/>
        </w:rPr>
        <w:t>-194</w:t>
      </w:r>
    </w:p>
    <w:p w:rsidR="00F922C9" w:rsidRPr="00F922C9" w:rsidRDefault="00F922C9" w:rsidP="00F922C9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141B22"/>
          <w:sz w:val="18"/>
          <w:szCs w:val="18"/>
          <w:lang w:eastAsia="ru-RU"/>
        </w:rPr>
      </w:pPr>
      <w:r w:rsidRPr="00F922C9">
        <w:rPr>
          <w:rFonts w:ascii="Arial" w:eastAsia="Times New Roman" w:hAnsi="Arial" w:cs="Arial"/>
          <w:color w:val="054F8E"/>
          <w:sz w:val="18"/>
          <w:szCs w:val="18"/>
          <w:lang w:eastAsia="ru-RU"/>
        </w:rPr>
        <w:t>27.09.2017</w:t>
      </w:r>
    </w:p>
    <w:p w:rsidR="009B5F0C" w:rsidRPr="00F922C9" w:rsidRDefault="00F922C9" w:rsidP="00F922C9">
      <w:pPr>
        <w:jc w:val="both"/>
        <w:rPr>
          <w:lang w:val="en-US"/>
        </w:rPr>
      </w:pPr>
      <w:r w:rsidRPr="00F922C9">
        <w:rPr>
          <w:rFonts w:ascii="Arial" w:eastAsia="Times New Roman" w:hAnsi="Arial" w:cs="Arial"/>
          <w:sz w:val="21"/>
          <w:szCs w:val="21"/>
          <w:shd w:val="clear" w:color="auto" w:fill="FFFFFF"/>
          <w:lang w:val="en-US" w:eastAsia="ru-RU"/>
        </w:rPr>
        <w:br/>
      </w:r>
      <w:r w:rsidRPr="00F922C9">
        <w:rPr>
          <w:rFonts w:ascii="Arial" w:eastAsia="Times New Roman" w:hAnsi="Arial" w:cs="Arial"/>
          <w:sz w:val="21"/>
          <w:szCs w:val="21"/>
          <w:shd w:val="clear" w:color="auto" w:fill="FFFFFF"/>
          <w:lang w:val="en-US" w:eastAsia="ru-RU"/>
        </w:rPr>
        <w:br/>
      </w:r>
      <w:r w:rsidRPr="00F922C9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Портал</w:t>
      </w:r>
      <w:r w:rsidRPr="00F922C9">
        <w:rPr>
          <w:rFonts w:ascii="Arial" w:eastAsia="Times New Roman" w:hAnsi="Arial" w:cs="Arial"/>
          <w:sz w:val="21"/>
          <w:szCs w:val="21"/>
          <w:shd w:val="clear" w:color="auto" w:fill="FFFFFF"/>
          <w:lang w:val="en-US" w:eastAsia="ru-RU"/>
        </w:rPr>
        <w:t xml:space="preserve"> </w:t>
      </w:r>
      <w:proofErr w:type="spellStart"/>
      <w:r w:rsidRPr="00F922C9">
        <w:rPr>
          <w:rFonts w:ascii="Arial" w:eastAsia="Times New Roman" w:hAnsi="Arial" w:cs="Arial"/>
          <w:sz w:val="21"/>
          <w:szCs w:val="21"/>
          <w:shd w:val="clear" w:color="auto" w:fill="FFFFFF"/>
          <w:lang w:val="en-US" w:eastAsia="ru-RU"/>
        </w:rPr>
        <w:t>Consilium</w:t>
      </w:r>
      <w:proofErr w:type="spellEnd"/>
      <w:r w:rsidRPr="00F922C9">
        <w:rPr>
          <w:rFonts w:ascii="Arial" w:eastAsia="Times New Roman" w:hAnsi="Arial" w:cs="Arial"/>
          <w:sz w:val="21"/>
          <w:szCs w:val="2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F922C9">
        <w:rPr>
          <w:rFonts w:ascii="Arial" w:eastAsia="Times New Roman" w:hAnsi="Arial" w:cs="Arial"/>
          <w:sz w:val="21"/>
          <w:szCs w:val="21"/>
          <w:shd w:val="clear" w:color="auto" w:fill="FFFFFF"/>
          <w:lang w:val="en-US" w:eastAsia="ru-RU"/>
        </w:rPr>
        <w:t>Medicum</w:t>
      </w:r>
      <w:proofErr w:type="spellEnd"/>
      <w:r w:rsidRPr="00F922C9">
        <w:rPr>
          <w:rFonts w:ascii="Arial" w:eastAsia="Times New Roman" w:hAnsi="Arial" w:cs="Arial"/>
          <w:sz w:val="21"/>
          <w:szCs w:val="21"/>
          <w:shd w:val="clear" w:color="auto" w:fill="FFFFFF"/>
          <w:lang w:val="en-US" w:eastAsia="ru-RU"/>
        </w:rPr>
        <w:t>:</w:t>
      </w:r>
      <w:r w:rsidRPr="00F922C9">
        <w:rPr>
          <w:rFonts w:ascii="Arial" w:eastAsia="Times New Roman" w:hAnsi="Arial" w:cs="Arial"/>
          <w:sz w:val="21"/>
          <w:szCs w:val="21"/>
          <w:shd w:val="clear" w:color="auto" w:fill="FFFFFF"/>
          <w:lang w:val="en-US" w:eastAsia="ru-RU"/>
        </w:rPr>
        <w:br/>
      </w:r>
      <w:hyperlink r:id="rId6" w:history="1">
        <w:r w:rsidRPr="00F922C9">
          <w:rPr>
            <w:rFonts w:ascii="Arial" w:eastAsia="Times New Roman" w:hAnsi="Arial" w:cs="Arial"/>
            <w:color w:val="005FB0"/>
            <w:sz w:val="21"/>
            <w:szCs w:val="21"/>
            <w:lang w:val="en-US" w:eastAsia="ru-RU"/>
          </w:rPr>
          <w:t>https://con-med.ru/company-news/dlitelnoe-primenenie-atsetilsalitsilovoy-kisloty-podkhody-k-povysheniyu-priverzhennosti-terapii.html</w:t>
        </w:r>
        <w:proofErr w:type="gramEnd"/>
      </w:hyperlink>
    </w:p>
    <w:sectPr w:rsidR="009B5F0C" w:rsidRPr="00F9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C9"/>
    <w:rsid w:val="009B5F0C"/>
    <w:rsid w:val="00F9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82CD2-AE6E-4729-ADA6-ADDD1143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15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8830">
                      <w:marLeft w:val="0"/>
                      <w:marRight w:val="19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448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-med.ru/company-news/dlitelnoe-primenenie-atsetilsalitsilovoy-kisloty-podkhody-k-povysheniyu-priverzhennosti-terapii.html" TargetMode="External"/><Relationship Id="rId5" Type="http://schemas.openxmlformats.org/officeDocument/2006/relationships/hyperlink" Target="http://www.gks.ru/wps/wcm/connect/rosstat_main/rosstat/ru/statistics/population/demograph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2017-10-22T09:00:00Z</dcterms:created>
  <dcterms:modified xsi:type="dcterms:W3CDTF">2017-10-22T09:02:00Z</dcterms:modified>
</cp:coreProperties>
</file>