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33" w:rsidRPr="00D15D33" w:rsidRDefault="00D15D33" w:rsidP="00D15D33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p w:rsidR="00D15D33" w:rsidRPr="00D15D33" w:rsidRDefault="00D15D33" w:rsidP="00D15D33">
      <w:pPr>
        <w:wordWrap w:val="0"/>
        <w:spacing w:before="90" w:after="150" w:line="240" w:lineRule="auto"/>
        <w:outlineLvl w:val="0"/>
        <w:rPr>
          <w:rFonts w:ascii="inherit" w:eastAsia="Times New Roman" w:hAnsi="inherit" w:cs="Helvetica"/>
          <w:b/>
          <w:bCs/>
          <w:color w:val="438DAD"/>
          <w:kern w:val="36"/>
          <w:sz w:val="48"/>
          <w:szCs w:val="48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438DAD"/>
          <w:kern w:val="36"/>
          <w:sz w:val="48"/>
          <w:szCs w:val="48"/>
          <w:lang w:eastAsia="ru-RU"/>
        </w:rPr>
        <w:t xml:space="preserve">Реактивные артриты (M02.8) </w:t>
      </w:r>
    </w:p>
    <w:p w:rsidR="00D15D33" w:rsidRPr="00D15D33" w:rsidRDefault="00D15D33" w:rsidP="00D15D33">
      <w:pPr>
        <w:spacing w:after="30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15D33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1CFAD0C" wp14:editId="3501F35D">
            <wp:extent cx="474980" cy="474980"/>
            <wp:effectExtent l="0" t="0" r="1270" b="1270"/>
            <wp:docPr id="3" name="Рисунок 3" descr="Республиканский центр развития здравоохра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спубликанский центр развития здравоохран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D3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РЦРЗ (Республиканский центр развития здравоохранения МЗ РК) </w:t>
      </w:r>
      <w:r w:rsidRPr="00D15D3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Версия: Клинические протоколы МЗ РК - 2016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Категории МКБ: Реактивные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артропатии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(M02)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Разделы медицины: Ревматология </w:t>
      </w:r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t xml:space="preserve">Общая информация </w:t>
      </w:r>
    </w:p>
    <w:p w:rsidR="00D15D33" w:rsidRPr="00D15D33" w:rsidRDefault="00C964BE" w:rsidP="00D15D3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right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  <w:hyperlink r:id="rId6" w:history="1">
        <w:r w:rsidR="00D15D33" w:rsidRPr="00D15D33">
          <w:rPr>
            <w:rFonts w:ascii="Helvetica" w:eastAsia="Times New Roman" w:hAnsi="Helvetica" w:cs="Helvetica"/>
            <w:vanish/>
            <w:color w:val="337AB7"/>
            <w:sz w:val="21"/>
            <w:szCs w:val="21"/>
            <w:lang w:eastAsia="ru-RU"/>
          </w:rPr>
          <w:t xml:space="preserve">Версия для печати </w:t>
        </w:r>
      </w:hyperlink>
    </w:p>
    <w:p w:rsidR="00D15D33" w:rsidRPr="00D15D33" w:rsidRDefault="00C964BE" w:rsidP="00D15D3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right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  <w:hyperlink r:id="rId7" w:anchor="attachments" w:history="1">
        <w:r w:rsidR="00D15D33" w:rsidRPr="00D15D33">
          <w:rPr>
            <w:rFonts w:ascii="Helvetica" w:eastAsia="Times New Roman" w:hAnsi="Helvetica" w:cs="Helvetica"/>
            <w:vanish/>
            <w:color w:val="337AB7"/>
            <w:sz w:val="21"/>
            <w:szCs w:val="21"/>
            <w:lang w:eastAsia="ru-RU"/>
          </w:rPr>
          <w:t xml:space="preserve">Скачать или отправить файл </w:t>
        </w:r>
      </w:hyperlink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Реактивные артриты (</w:t>
      </w:r>
      <w:proofErr w:type="spellStart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воспалительные негнойные заболевания суставов, развивающиеся вскоре (обычно не позднее чем через 1 месяц) после острой кишечной или урогенитальной инфекции.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Соотношение кодов МКБ-10 и МКБ-9[1,2,4,6]: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620"/>
        <w:gridCol w:w="420"/>
        <w:gridCol w:w="671"/>
      </w:tblGrid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МКБ-10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МКБ-9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Реактивные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артропатии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М02.0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Артропатия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сопровождающая кишечный шунт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М02.1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Постдизентерийная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артропатия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М02.2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Постиммунизационная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артропатия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М02.3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Болезнь Рейтера;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М02.8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Другие реактивные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артропатии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М02.9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Реактивная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артропатия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неуточнённая.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D15D33" w:rsidRPr="00D15D33" w:rsidRDefault="00D15D33" w:rsidP="00C964B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Дата разработки протокола: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2016 год (пересмотренный с 2013 года).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Пользователи протокола: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врачи общей практики, терапевты, ревматологи.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Категория пациентов: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взрослые.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t xml:space="preserve">Классификация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Классификация [1-5,7,10]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этиологии: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постэнтероколитическая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(возбудители: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Yersinia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enterocolitica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Yersinia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pseudotuberculosis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Salmonella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enteritidis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S.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Typhimurium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Campylobacter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jejuni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Shigella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flexnery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урогенитальная (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Chlamidia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trachomatis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течению: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острые (до 6 месяцев);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затяжные (от 6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 1 года);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хронические (свыше 1 года).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степени активности: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низкая (I);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средняя (II);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высокая (III);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ремиссия (0).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степени функциональной недостаточности суставов (ФНС):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495"/>
      </w:tblGrid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I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полностью сохранены возможности самообслуживания, занятием непрофессиональной и профессиональной деятельностью.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II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сохранены возможности самообслуживания, занятием непрофессиональной деятельностью, ограничены возможности занятием профессиональной деятельностью.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III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сохранены возможности самообслуживания, ограничены возможности занятием непрофессиональной и профессиональной деятельностью.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IV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ограничены возможности самообслуживания, занятием непрофессиональной и профессиональной деятельностью.</w:t>
            </w:r>
          </w:p>
        </w:tc>
      </w:tr>
    </w:tbl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t xml:space="preserve">Диагностика (амбулатория)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ДИАГНОСТИКА НА АМБУЛАТОРНОМ УРОВНЕ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Диагностические </w:t>
      </w:r>
      <w:proofErr w:type="gramStart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Жалобы</w:t>
      </w:r>
      <w:proofErr w:type="gramEnd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Артрит преимущественно суставов нижних конечностей, развивающийся обычно через месяц после перенесенной триггерной (кишечной или урогенитальной. например, цистита, уретрита или диареи) инфекции, признаки которых к моменту развития артрита могут не выявляться. Могут быть стёртые и бессимптом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ные формы заболевания (особенно в случае урогенитального хламидиоза у женщин). Часто отмечается повышение температуры тела, чаще субфебрилитет, общая слабость, снижение аппетита, иногда похудание.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Анамнез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незащищенные половые связи; перенесенная диарея.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Физикальное</w:t>
      </w:r>
      <w:proofErr w:type="spellEnd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обследование: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Поражение суставов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несимметричный артрит с поражением небольшого числа суставов преимущественно нижних конечностей (общее число воспалённых суставов редко превышает шесть).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Поражение крестцово-подвздошных суставов: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сакроилиит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 правило, односторонний), а также (редко) вышележащих отделов позвоночника (спондилит).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Поражение околосуставных тканей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тендениты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бурситы (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ахиллобурситы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подпяточные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бурситы), периостит пяточных бугров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Изменения кожи и слизистых оболочек: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 язвенный стоматит, глоссит,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кератодермия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(подошвенная часть стоп и ладони),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ониходистфия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поражение ногтей</w:t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эрозивный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баланит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цервицит, проктит.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Системные проявления: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поражение глаз: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конъюктивит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передний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увеит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поражение почек: протеинурия, пиурия,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гломерулонефрит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поражение сердечно-сосудистой системы (редко)</w:t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аортит, недостаточность аортального клапана, миокардит, нарушение атриовентрикулярной проводимости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Конституциональные признаки: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          лихорадка;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лимфоаденопатия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Диагностические критерии </w:t>
      </w:r>
      <w:proofErr w:type="spellStart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«Большие» критерии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Артрит (необходимо наличие 2 из 3 характеристик):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-ассиметричный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-моно-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олигоартрит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преимущественно нижних конечностей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-поражение суставов нижних конечностей.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Предшествующая клинически выраженная инфекция (наличие одного из двух проявлений):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-уретрит/цервицит, предшествующий артриту в течение до 8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нед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-энтерит, предшествующий артриту в течение до 6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нед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«Малый» критерий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Лабораторное подтверждение триггерных инфекций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 xml:space="preserve">Определенный </w:t>
      </w:r>
      <w:proofErr w:type="spellStart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устанавливают при наличии обоих «больших» критериев и соответствующего «малого» критерия.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Вероятный </w:t>
      </w:r>
      <w:proofErr w:type="spellStart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устанавливают при наличии обоих «больших» критериев или при наличии первого «большого» критерия и «малого» критерия.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Лабораторные исследования [1,2,3,5,6,7,8,11]: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ОАК (специфические изменения отсутствуют; может быть увеличение СОЭ, умеренный лейкоцитоз, тромбоцитоз и анемия);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ОАМ (небольшая пиурия как следствие уретрита (при про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ведении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трёхстаканной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пробы изменения преобладают в первой порции мочи); микрогематурия, протеинурия (редко, при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гломерулонефрите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БАК: АЛТ, АСТ,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креатинин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мочевина, глюкоза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трансаминазы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общий и прямой билирубин, мочевая кислота (отражают вовлечение в патологический процесс внутренние органы на фоне заболевания и лечения);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СРБ – положительный;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Ревмофактор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Антистрептолизин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О (повышение титров при стрептококковой инфекции);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Кровь на бруцеллез;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ПЦР, ИФА: антитела классов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IgM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IgA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инфекционным агентам (к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Chlamydia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trachomatis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Yersinia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enterocolotica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Treponema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pallidum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Trichomonas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vaginalis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т.д.) –  (при постановке диагноза) верификация этиологического фактора;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 HLA-B27  (обнаруживается примерно у 60—80% больных; у носителей HLA-В27 наблюдаются более тяжёлое течение и склонность к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хронизации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заболевания);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 кровь на ВИЧ;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 маркеры вирусных гепатитов В и С.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Инструментальные исследования [1-3,5-8,11]: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Рентгенография костей таза и тазобедренных суставов с захватом крестцово-подвздошных сочленений - односторонний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сакроилиит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Отличительной особенностью является наличие в области зон воспаления и деструкции остеосклероза, костной пролиферации в области краевых эрозий, воспалённых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энтезисов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периостита.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Рентгенография суставов (при моно-,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олигоартрите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- признаки отека мягких тканей вокруг воспаленных суставов и/или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энтезисов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зоны воспаления и деструкции, остеосклероза, костной пролиферации и периостита при хроническом течении возможно сужение суставной щели и развитие костных эрозивных изменений.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КТ или МРТ суставов и крестцово-подвздошных сочленении - для ранней диагностики спондилита (по показаниям).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Диагностический алгоритм: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6FCAB5D9" wp14:editId="16E190A1">
            <wp:extent cx="7192645" cy="4507230"/>
            <wp:effectExtent l="0" t="0" r="8255" b="7620"/>
            <wp:docPr id="6" name="preview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_image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450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bookmarkStart w:id="0" w:name="_GoBack"/>
      <w:bookmarkEnd w:id="0"/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t xml:space="preserve">Диагностика (стационар)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ДИАГНОСТИКА НА СТАЦИОНАРНОМ УРОВНЕ [1-3,7,9-12]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Диагностические критерии: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см. амбулаторный уровень.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Диагностический алгоритм: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см. амбулаторный уровень.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Перечень основных  диагностических мероприятий: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ОАК (развернутый);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ОАМ;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 БАК (АЛТ, АСТ, общий билирубин,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креатинин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мочевина, мочевая кислота);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СРБ;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РФ – для дифференциальной диагностики;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 Бактериологическое исследование кала (при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энтероколитическом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варианте) – для постановки диагноза;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Бактериологическое исследование мочи (при урогенитальном варианте) – для постановки диагноза;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 HLA-B27;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 Кровь на ВИЧ, маркеры гепатитов В,С – для дифференциальной диагностики при постановки диагноза 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 Рентгенография суставов (при моно-,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олигоартрите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Рентгенография костей таза и тазобедренных суставов с захватом крестцово-подвздошных сочленений;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КТ или МРТ–суставов и крестцово-подвздошных сочленении (по показаниям).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 дополнительных диагностических мероприятий: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АСЛО, кровь на бруцеллез;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·     ПЦР, ИФА: Антитела классов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IgM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IgA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инфекционным агентам (к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Chlamydia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trachomatis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Yersinia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enterocolotica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Treponema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pallidum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Trichomonas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vaginalis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т.д.) –  (при постановке диагноза) верификация этиологического фактора;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Исследование синовиальной жидкости – для исключения септического артрита, подагры;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Обзорная рентгенография ОГК или флюорография;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 ЭКГ, ЭХОКГ;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Колоноскопия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для дифференциальной диагностики;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 УЗДГ вен нижних конечностей.</w:t>
      </w:r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t xml:space="preserve">Дифференциальный диагноз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Дифференциальный диагноз и обоснование дополнительных исследований [1-3,5-8,11]: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Проводится с инфекционными и постинфекционными артритами, другими заболеваниями из группы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серонегативных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спондилоартропатий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анкилозирующий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спондилит (болезнь Бехтерева), ювенильный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анкилозирующий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спондилоартрит,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псориатический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артрит, артриты при хро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нических воспалительных заболеваниях кишечника (болезнь Крона, не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специфический язвенный колит, болезнь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Уиппла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а также недифференцированный спондилоартрит и другие более редко встречающиеся заболевания (таблица 1).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Таблица 1 - Клинико-лабораторная характеристика реактивного артрита, ревматоидного артрита и других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спондилоартропатий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2423"/>
        <w:gridCol w:w="1954"/>
        <w:gridCol w:w="3146"/>
      </w:tblGrid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Диагноз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Обоснование для дифференциальной диагностики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Обследования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Критерии исключения диагноза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Инфекционные артриты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Поражение суставов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Диагностическая пункция </w:t>
            </w: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сустава,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УЗИ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сустава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Наличие септического очага, нейтрофилы и лейкоциты в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пунктате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синовиальной жидкости.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Ревматоидный артрит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Поражение суставов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РФ, </w:t>
            </w: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АЦЦП,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рентгенография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суставов кистей.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Симметричный артрит суставов кистей, утренняя скованность. На рентгенограмме </w:t>
            </w: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кистей; 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эпифизарный</w:t>
            </w:r>
            <w:proofErr w:type="spellEnd"/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остеопороз, сужение суставной щели,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узуры</w:t>
            </w:r>
            <w:proofErr w:type="spellEnd"/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Подагра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Поражение суставов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крови на мочевую кислоту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Преимущественно </w:t>
            </w: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мужчины,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наличие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острого артрита (чаще всего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моноартрит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I плюснефалангового сустава стопы) в анамнезе,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гиперурикемия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Анкилозирующий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спондилит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Поражение суставов </w:t>
            </w: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  периферической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форме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Рентгенография, МРТ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илеосакральных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сочленений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Отсутствие связи с инфекцией, постепенное начало болезни, наличие утренней скованности,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 xml:space="preserve">2 х сторонний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сакроилиит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</w:tbl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t xml:space="preserve">Лечение </w:t>
      </w:r>
    </w:p>
    <w:p w:rsidR="00D15D33" w:rsidRPr="00D15D33" w:rsidRDefault="00C964BE" w:rsidP="00D15D33">
      <w:pPr>
        <w:spacing w:before="150" w:after="45" w:line="240" w:lineRule="auto"/>
        <w:outlineLvl w:val="4"/>
        <w:rPr>
          <w:rFonts w:ascii="inherit" w:eastAsia="Times New Roman" w:hAnsi="inherit" w:cs="Helvetica"/>
          <w:b/>
          <w:bCs/>
          <w:color w:val="333333"/>
          <w:sz w:val="21"/>
          <w:szCs w:val="21"/>
          <w:lang w:eastAsia="ru-RU"/>
        </w:rPr>
      </w:pPr>
      <w:hyperlink r:id="rId9" w:tgtFrame="_blank" w:history="1">
        <w:r w:rsidR="00D15D33" w:rsidRPr="00D15D33">
          <w:rPr>
            <w:rFonts w:ascii="inherit" w:eastAsia="Times New Roman" w:hAnsi="inherit" w:cs="Helvetica"/>
            <w:b/>
            <w:bCs/>
            <w:color w:val="337AB7"/>
            <w:sz w:val="21"/>
            <w:szCs w:val="21"/>
            <w:lang w:eastAsia="ru-RU"/>
          </w:rPr>
          <w:t>Препараты (действующие вещества), применяющиеся при лечении</w:t>
        </w:r>
      </w:hyperlink>
      <w:r w:rsidR="00D15D33" w:rsidRPr="00D15D33">
        <w:rPr>
          <w:rFonts w:ascii="inherit" w:eastAsia="Times New Roman" w:hAnsi="inherit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Азитромицин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Azithromycin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Ацеклофенак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Atseklofenak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Бетаметазон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Betamethasone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Дексаметазон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Dexamethasone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Диклофенак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Diclofenac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Доксициклин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Doxycycline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Кларитромицин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Clarithromycin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Лефлуномид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Leflunomide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Мелоксикам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Meloxicam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Метилпреднизолон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Methylprednisolone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Метотрексат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Methotrexate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Нимесулид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Nimesulide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Преднизолон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Prednisolone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Сульфасалазин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Sulfasalazine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Фолиевая кислота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Folic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acid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Фуразолидон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Furazolidone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Ципрофлоксацин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Ciprofloxacin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15D33" w:rsidRPr="00D15D33" w:rsidTr="00D15D3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Эторикоксиб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Etorikoksib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</w:tbl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t xml:space="preserve">Лечение (амбулатория)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ЛЕЧЕНИЕ НА АМБУЛАТОРНОМ УРОВНЕ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Тактика лечения [1-5,7,9-13]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Немедикаментозное лечение: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·      избегать факторов, которые потенциально могут провоцировать обострение болезни (интеркуррентные инфекции, стресс, курение и приём алкоголя);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 сбалансированная диета, включающая продукты с высоким содержанием полиненасыщенных жирных кислот (рыбий жир, оливковое масло и др.), фрукты, овощи;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 лечебная физкультура;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 физиотерапия: тепловые или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холодовые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процедуры, ультразвук, лазеро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терапия (при умеренной активности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санаторно-курортное лечение (в стадии ремиссии).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Медикаментозное лечение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 Ведение пациента с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должно основываться на общих решениях между информированным пациентом и его врачом.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 При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хламидийном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курс антимикробной терапия составляет 28-30 дней; при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энтероколитическом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до 10 дней.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 Обязательно обследование и лечение полового партнера при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хламидийном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 основных лекарственных средств: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086"/>
        <w:gridCol w:w="859"/>
        <w:gridCol w:w="925"/>
        <w:gridCol w:w="1087"/>
        <w:gridCol w:w="1268"/>
        <w:gridCol w:w="30"/>
        <w:gridCol w:w="1484"/>
      </w:tblGrid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Лекарственное средство (международное непатентованное название)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Фармакологические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Способ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Разовая 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 применения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Длительность курса лечения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Уровень доказательности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Антибактериальные препараты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Азитромицин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макролид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2 раза в 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[12-14, 15-16]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Доксициклин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раза в 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[12-14, 17]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Кларитромицин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макролид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раза в 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[12-14, 18]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фторхинолон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раза в 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 [12-14, 19-20]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Фуразолидон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производное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нитрофурана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100-150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 4 раз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 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GPP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Глюкокортикостероидная</w:t>
            </w:r>
            <w:proofErr w:type="spellEnd"/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терапия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Преднизолон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синтетический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глюкокортикостероидный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гормональный препарат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1-3 раза в 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1,5-2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УД-А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Метилпреднизолон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синтетический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глюкокортикостероидный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гормональный препарат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1-3 раза в 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1,5-2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УД-А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Нестероидно</w:t>
            </w:r>
            <w:proofErr w:type="spellEnd"/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-противовоспалительная терапия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Диклофенак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Производный уксусной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75-150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1- 3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1,5-2 месяца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УД -А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Ацеклофенак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Производный уксусной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 1,5-2 месяца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УД-А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Нимесулид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НПВП из класса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сульфонамидов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 1,5-2 месяца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УД-А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Мелоксикам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Селективный ЦОГ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 мг 1,5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дней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УД-А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Эторикоксиб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Коксибы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60-120 мг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УД-А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Цитотоксические препараты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Сульфасалазин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конъюгат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5-аминосалициловой кислоты и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сульфапиридина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500-1000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2-3 раза в 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–С [30]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Лефлуномид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производное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изоксазола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раз 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–С [29]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Метотрексат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антиметаболит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2,5-5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15-20 мг в неделю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Метотрексат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антиметаболит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п\к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7.5 мг -25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15 -20 мг в неделю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Перечень дополнительных лекарственных средств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Лекарственное средство (международное непатентованное название)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Фармакологические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Способ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Разовая 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 применения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Длительность курса лечения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Уровень доказательности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Локальная терапия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Бетаметазон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синтетический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глюкокортикостероидный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гормональный препарат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в\с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раз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Дексаметазон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синтетический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глюкокортикостероидный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гормональный препарат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Суспензия глазные капли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1-2 капли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3-5 раз в день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УД-А</w:t>
            </w:r>
            <w:proofErr w:type="gram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[13-14]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Диклофенак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производный уксусной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эмульгель-1%, 5% гель, мазь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раза в сутки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 3-х недель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Витамины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витамин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мкг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 мкг в неделю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 [26]</w:t>
            </w:r>
          </w:p>
        </w:tc>
      </w:tr>
    </w:tbl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 основных лекарственных средств: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Антибактериальные препараты: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Азитромицин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Доксициклин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Клариромицин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Ципрофлоксацин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Фуразолидон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Глюкокортикостероидная</w:t>
      </w:r>
      <w:proofErr w:type="spellEnd"/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терапия: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Преднизолон;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Метилпреднизолон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Нестероидные противовоспалительные препараты: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Диклофенак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Ацеклофенак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Нимесулид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Мелоксикам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Эторококсиб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Цитотоксические препараты: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Сульфасалазин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Лефлуномид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Метотрексат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 дополнительных лекарственных средств: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Локальная терапия: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Бетаметазон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Дексаметазон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Диклофенак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Витамины: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Фолиевая кислота.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Алгоритм действий при неотложных ситуациях: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Другие виды лечения: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проводится.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Показания для консультации специалистов: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уролога (акушер-гинеколога) – при наличии признаков уроге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нитальной инфекции; во время проведения терапии базисными препаратами; решение вопроса о тактики ведения беременности.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дерматолога-венеролога – при наличии признаков уроге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нитальной инфекции (диагностика и лечебная тактика).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окулиста: при поражении глаз (уточнение поражения структур органа зрения, назначение локальной терапии).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Консультация инфекциониста: при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энтероколитическом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варианте (для диагностики и тактики лечения кишечных и других инфекционных заболеваний).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стоматолога – при язвенном поражении слизистых полости рта.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фтизиатра – при подозрении на специфическую инфекцию на фоне проводимой базисной терапии.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гастроэнтеролога – эрозивно-язвенное поражение желудочно-кишечного тракта (ЖКТ).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хирурга – подозрение на желудочно-кишечное кровотечение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Профилактические мероприятия [1-5,7,9,10]: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Первичная профилактика: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Общие гигиенические меры профилактики кишечных инфекций (мытье рук, овощей и фруктов, термическая обработка продуктов, следить за сроком годности пищевых продуктов).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Предупреждение заражения ИППП – использование презерватива; обследование на ИППП и, при необходимости, лечение половых партнёров.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Эти меры профилактики особенно важны у пациентов, ранее перенесших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также у всех пациентов со спондилоартритами.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Вторичная профилактика: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Избегать факторов, провоцирующих воспалительный процесс в суставах: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переохлаждение, избыточные нагрузки на суставы и травмы, своевременная санация очагов инфекции, диспансерное наблюдение, а также соблюдать меры по профилактике рецидивов кишечных и урогенитальных инфекций.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Мониторинг состояния пациента: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Наблюдение на амбулаторном этапе, диспансерный учет у ВОП (терапевта): частота посещений не реже, чем 1 раз в 3 месяца в течение первого года, далее возможно 2 раза в год (при благоприятном течении), динамическое наблюдение у ревматолога (при применении базисной терапии – не реже, чем 1 раз в 3 месяца). Возможен рецидив. Контроль ОАК, ОАМ, БАК: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креатинина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билирубина,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АЛаТ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АСаТ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оценки динамики и безопасности лечения. Консультации узких специалистов - по показаниям.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 стойкой клинико-лабораторной ремиссии в течение 5 лет - снятие с диспансерного учета.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Индикатор эффективности лечения: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выздоровление;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снижение/купирование активности заболевания;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улучшение/нормализация функциональной активности суставов;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достижение клинико-лабораторной ремиссии.</w:t>
      </w:r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lastRenderedPageBreak/>
        <w:t xml:space="preserve">Лечение (скорая помощь)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ДИАГНОСТИКА И ЛЕЧЕНИЕ НА ЭТАПЕ </w:t>
      </w:r>
      <w:proofErr w:type="gram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СКОРОЙ  НЕОТЛОЖНОЙ</w:t>
      </w:r>
      <w:proofErr w:type="gram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ПОМОЩИ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Диагностические мероприятия: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сбор жалоб, анамнез.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Медикаментозное лечение: 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НПВП: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диклофенак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75 мг в/м;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кетопрофен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 мл в/м.</w:t>
      </w:r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t xml:space="preserve">Лечение (стационар)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ЛЕЧЕНИЕ НА СТАЦИОНАРНОМ УРОВНЕ [1-3,7,9-12]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Тактика лечения [1-5,7,9,10-13]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Немедикаментозное лечение: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 избегать факторов, которые потенциально могут провоцировать обострение болезни (интеркуррентные инфекции, стресс, курение и приём алкоголя);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 сбалансированная диета, включающая продукты с высоким содержанием полиненасыщенных жирных кислот (рыбий жир, оливковое масло и др.), фрукты, овощи;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 лечебная физкультура;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 физиотерапия: тепловые процедуры, ультразвук, лазеро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терапия (при умеренной активности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Медикаментозное лечение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 Ведение пациента с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должно основываться на общих решениях между информированным пациентом и его врачом.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 При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хламидийном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курс антимикробной терапия составляет 28-30 дней; при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энтероколитическом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до 10 дней.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 Обязательно обследование и лечение полового партнера.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 основных лекарственных средств: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087"/>
        <w:gridCol w:w="860"/>
        <w:gridCol w:w="926"/>
        <w:gridCol w:w="1087"/>
        <w:gridCol w:w="1269"/>
        <w:gridCol w:w="1510"/>
      </w:tblGrid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Лекарственное средство (международное непатентованное название)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Фармакологические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Способ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Разовая 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Длительность курса лечения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Уровень доказательности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Антибактериальные препараты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Азитромицин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макролид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[12-14, 15-16]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Доксициклин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[12-14, 17]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Кларитромицин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макролид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[12-14, 18]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фторхинолон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 [12-14, 19-20]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Фуразолидон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производное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нитрофурана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100-150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 4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 10 до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GPP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Глюкокортикостероидная</w:t>
            </w:r>
            <w:proofErr w:type="spellEnd"/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терапия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Преднизолон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синтетический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глюкокортикостероидный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гормональный препарат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1-3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1,5-2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Метилпреднизолон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синтетический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глюкокортикостероидный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гормональный препарат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1-3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1,5-2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Нестероидно</w:t>
            </w:r>
            <w:proofErr w:type="spellEnd"/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-противовоспалительная терапия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Диклофенак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Производный уксусной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75-150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1- 3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1,5-2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Ацеклофенак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Производный уксусной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 1,5-2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Нимесулид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НПВП из класса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сульфонамидов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 1,5-2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Мелоксикам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Селективный ЦОГ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в/м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 мг 1,5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Эторикоксиб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Коксибы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60-120 мг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Цитотоксические препараты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Сульфасалазин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конъюгат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5-аминосалициловой кислоты и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сульфапиридина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500-1000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2-3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–С [30]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Лефлуномид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производное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изоксазола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раз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–С [29]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Метотрексат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антиметаболит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2,5-5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15-20 мг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Метотрексат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антиметаболит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п\к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7.5 мг -25 мг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15 -20 мг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Перечень дополнительных лекарственных средств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Лекарственное средство (международное непатентованное название)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Фармакологические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Способ введения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Разовая доза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Кратность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Длительность курса лечения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Уровень доказательности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Локальная терапия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Бетаметазон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синтетический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глюкокортикостероидный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гормональный препарат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в\с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Дексаметазон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синтетический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глюкокортикостероидный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гормональный препарат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Суспензия глазные капли</w:t>
            </w: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1-2 капли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3-5 раз в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показаниям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Диклофенак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производный уксусной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эмульгель-1%, 5% гель, мазь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 раза в сутки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 3-х недель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А [12-14]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Витамины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витамин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Внутрь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мкг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 мкг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длительно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УД – В [26]</w:t>
            </w:r>
          </w:p>
        </w:tc>
      </w:tr>
    </w:tbl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 основных лекарственных средств: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Антибактериальные препараты: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Азитромицин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Доксициклин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Клариромицин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Ципрофлоксацин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Фуразолидон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Глюкокортикостероидная</w:t>
      </w:r>
      <w:proofErr w:type="spellEnd"/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терапия: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Преднизолон;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Метилпреднизолон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Нестероидные противовоспалительные препараты: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Диклофенак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Ацеклофенак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Нимесулид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Мелоксикам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Эторококсиб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Цитотоксические препараты: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Сульфасалазин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Лефлуномид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Метотрексат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 дополнительных лекарственных средств: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Локальная терапия: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Бетаметазон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Дексаметазон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Диклофенак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Витамины: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Фолиевая кислота.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Другие виды лечения: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Хирургическое лечение: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Показания для консультации специалистов: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уролога (акушер-гинеколога) – при наличии признаков уроге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нитальной инфекции; во время проведения терапии базисными препаратами; решение вопроса о тактики ведения беременности;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дерматолога-венеролога - при наличии признаков уроге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нитальной инфекции (диагностика и лечебная тактика);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окулиста: при поражении глаз (уточнение поражения структур органа зрения, назначение локальной терапии);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консультация инфекциониста: при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энтероколитическом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варианте (для диагностики и тактики лечения кишечных и других инфекционных заболеваний);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стоматолога – при язвенном поражении слизистых полости рта;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фтизиатра – при подозрении на специфическую инфекцию на фоне проводимой базисной терапии;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гастроэнтеролога - эрозивно-язвенное поражение желудочно-кишечного тракта (ЖКТ);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консультация хирурга - подозрение на желудочно-кишечное кровотечение.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Показания для перевода в отделение интенсивной терапии и реанимации: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терминальные стадии сердечной и печеночной недостаточности;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развитие угрожающей жизни нарушении ритма сердца.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Индикаторы эффективности лечения: 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снижение активности воспалительного процесса;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улучшение функциональной активности суставов;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достижение клинико-лабораторной ремиссии.</w:t>
      </w:r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lastRenderedPageBreak/>
        <w:t xml:space="preserve">Госпитализация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ПОКАЗАНИЯ ДЛЯ ГОСПИТАЛИЗАЦИИ С УКАЗАНИЕМ ТИПА ГОСПИТАЛИЗАЦИИ [1-5]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Показания для плановой госпитализации: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Уточнение диагноза.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·          Средняя степень активности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Подбор базисных противовоспалительных препаратов (БПВП).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      Среднетяжелые и тяжелые (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неугрожающие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жизни) состояния, </w:t>
      </w:r>
      <w:proofErr w:type="spellStart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развившиеся</w:t>
      </w:r>
      <w:proofErr w:type="spellEnd"/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 побочного действия лекарственной терапии.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Показания для экстренной госпитализации: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Высокая степень активности заболевания.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Системные проявления заболевания.</w:t>
      </w: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·          Развитие интеркуррентной инфекции или тяжелых осложнений болезни или лекарственной терапии.</w:t>
      </w:r>
    </w:p>
    <w:p w:rsidR="00D15D33" w:rsidRPr="00D15D33" w:rsidRDefault="00D15D33" w:rsidP="00D15D33">
      <w:pPr>
        <w:shd w:val="clear" w:color="auto" w:fill="6A9FBE"/>
        <w:spacing w:after="0" w:line="240" w:lineRule="auto"/>
        <w:jc w:val="center"/>
        <w:outlineLvl w:val="1"/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</w:pPr>
      <w:r w:rsidRPr="00D15D33">
        <w:rPr>
          <w:rFonts w:ascii="inherit" w:eastAsia="Times New Roman" w:hAnsi="inherit" w:cs="Helvetica"/>
          <w:b/>
          <w:bCs/>
          <w:color w:val="FFFFFF"/>
          <w:sz w:val="41"/>
          <w:szCs w:val="41"/>
          <w:lang w:eastAsia="ru-RU"/>
        </w:rPr>
        <w:t xml:space="preserve">Информация </w:t>
      </w:r>
    </w:p>
    <w:p w:rsidR="00D15D33" w:rsidRPr="00D15D33" w:rsidRDefault="00D15D33" w:rsidP="00D15D33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  <w:r w:rsidRPr="00D15D33"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  <w:t xml:space="preserve">Информация </w:t>
      </w:r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D15D3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Сокращения, используемые в протоколе: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47"/>
        <w:gridCol w:w="5610"/>
      </w:tblGrid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аланинаминотрансфераза</w:t>
            </w:r>
            <w:proofErr w:type="spellEnd"/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аспартатаминотрансфераза</w:t>
            </w:r>
            <w:proofErr w:type="spellEnd"/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АЦЦП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антитела к циклическому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цитруллинированному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пептиду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биохимический анализ крови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БПВП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базисные противовоспалительные препараты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вирус иммунодефицита человека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врач общей практики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глюкокортикостероиды</w:t>
            </w:r>
            <w:proofErr w:type="spellEnd"/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желудочно-кишечный тракт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ИППП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инфекции, передающиеся половым путем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иммуноферментный анализ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лекарственные средства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НПВП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нестероидные противовоспалительные препараты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общий анализ крови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общий анализ мочи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острые кишечные инфекции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ПЦР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полимеразная цепная реакция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ревматоидный артрит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реактивный артрит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ревматоидный фактор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скорость оседания эритроцитов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С-реактивный белок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ультразвуковое исследование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функциональная недостаточность суставов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электрокардиография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ЭХОКГ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эхокардиография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HLA-B27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антиген B27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IgA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IgM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иммуноглобулины класса А, класса М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рандомизированные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контролируемые исследования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компьютерная терапия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магнитно-</w:t>
            </w: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резонанстная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томография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ПсА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псориатический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артрит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анкилозирующий</w:t>
            </w:r>
            <w:proofErr w:type="spellEnd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спондилит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спондилоартриты</w:t>
            </w:r>
          </w:p>
        </w:tc>
      </w:tr>
      <w:tr w:rsidR="00D15D33" w:rsidRPr="00D15D33" w:rsidTr="00D15D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ОГК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5D33" w:rsidRPr="00D15D33" w:rsidRDefault="00D15D33" w:rsidP="00D15D3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15D3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органы грудной клетки</w:t>
            </w:r>
          </w:p>
        </w:tc>
      </w:tr>
    </w:tbl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D15D33" w:rsidRPr="00D15D33" w:rsidRDefault="00C964BE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anchor="top" w:history="1">
        <w:r w:rsidR="00D15D33" w:rsidRPr="00D15D33">
          <w:rPr>
            <w:rFonts w:ascii="Helvetica" w:eastAsia="Times New Roman" w:hAnsi="Helvetica" w:cs="Helvetica"/>
            <w:vanish/>
            <w:color w:val="337AB7"/>
            <w:sz w:val="21"/>
            <w:szCs w:val="21"/>
            <w:lang w:eastAsia="ru-RU"/>
          </w:rPr>
          <w:t xml:space="preserve">Наверх </w:t>
        </w:r>
      </w:hyperlink>
    </w:p>
    <w:p w:rsidR="00D15D33" w:rsidRPr="00D15D33" w:rsidRDefault="00D15D33" w:rsidP="00D15D3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15D33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C1AD4C8" wp14:editId="57CE946E">
                <wp:extent cx="302260" cy="302260"/>
                <wp:effectExtent l="0" t="0" r="0" b="0"/>
                <wp:docPr id="1" name="AutoShape 8" descr="https://diseases.medelement.com/disease/%D1%80%D0%B5%D0%B0%D0%BA%D1%82%D0%B8%D0%B2%D0%BD%D1%8B%D0%B5-%D0%B0%D1%80%D1%82%D1%80%D0%B8%D1%82%D1%8B/149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6B02C" id="AutoShape 8" o:spid="_x0000_s1026" alt="https://diseases.medelement.com/disease/%D1%80%D0%B5%D0%B0%D0%BA%D1%82%D0%B8%D0%B2%D0%BD%D1%8B%D0%B5-%D0%B0%D1%80%D1%82%D1%80%D0%B8%D1%82%D1%8B/1494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6C4F93" w:rsidRDefault="006C4F93" w:rsidP="00D15D33"/>
    <w:sectPr w:rsidR="006C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C462B"/>
    <w:multiLevelType w:val="multilevel"/>
    <w:tmpl w:val="3B06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73C66"/>
    <w:multiLevelType w:val="multilevel"/>
    <w:tmpl w:val="98E4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B7998"/>
    <w:multiLevelType w:val="multilevel"/>
    <w:tmpl w:val="274A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C2FB8"/>
    <w:multiLevelType w:val="multilevel"/>
    <w:tmpl w:val="A4A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7646E"/>
    <w:multiLevelType w:val="multilevel"/>
    <w:tmpl w:val="4AF6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10ECD"/>
    <w:multiLevelType w:val="multilevel"/>
    <w:tmpl w:val="FBD8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E0"/>
    <w:rsid w:val="000D1565"/>
    <w:rsid w:val="006438E0"/>
    <w:rsid w:val="006C4F93"/>
    <w:rsid w:val="00C964BE"/>
    <w:rsid w:val="00D1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9779B-5D8E-4C7C-A604-F84032F2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D33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D15D33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D15D33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15D33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D15D33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D15D33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D33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5D33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5D33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5D33"/>
    <w:rPr>
      <w:rFonts w:ascii="inherit" w:eastAsia="Times New Roman" w:hAnsi="inherit" w:cs="Times New Roman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5D33"/>
    <w:rPr>
      <w:rFonts w:ascii="inherit" w:eastAsia="Times New Roman" w:hAnsi="inherit" w:cs="Times New Roman"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15D33"/>
    <w:rPr>
      <w:rFonts w:ascii="inherit" w:eastAsia="Times New Roman" w:hAnsi="inherit" w:cs="Times New Roman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15D33"/>
  </w:style>
  <w:style w:type="character" w:styleId="a3">
    <w:name w:val="Hyperlink"/>
    <w:basedOn w:val="a0"/>
    <w:uiPriority w:val="99"/>
    <w:semiHidden/>
    <w:unhideWhenUsed/>
    <w:rsid w:val="00D15D33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D15D33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rsid w:val="00D15D3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D15D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D15D33"/>
    <w:rPr>
      <w:rFonts w:ascii="Courier New" w:eastAsia="Times New Roman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D15D33"/>
    <w:rPr>
      <w:i/>
      <w:iCs/>
    </w:rPr>
  </w:style>
  <w:style w:type="character" w:styleId="HTML3">
    <w:name w:val="HTML Keyboard"/>
    <w:basedOn w:val="a0"/>
    <w:uiPriority w:val="99"/>
    <w:semiHidden/>
    <w:unhideWhenUsed/>
    <w:rsid w:val="00D15D33"/>
    <w:rPr>
      <w:rFonts w:ascii="Courier New" w:eastAsia="Times New Roman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D1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D15D33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6">
    <w:name w:val="HTML Sample"/>
    <w:basedOn w:val="a0"/>
    <w:uiPriority w:val="99"/>
    <w:semiHidden/>
    <w:unhideWhenUsed/>
    <w:rsid w:val="00D15D33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D15D33"/>
    <w:rPr>
      <w:b/>
      <w:bCs/>
    </w:rPr>
  </w:style>
  <w:style w:type="paragraph" w:styleId="a6">
    <w:name w:val="Normal (Web)"/>
    <w:basedOn w:val="a"/>
    <w:uiPriority w:val="99"/>
    <w:semiHidden/>
    <w:unhideWhenUsed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15D33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ext-nowrap">
    <w:name w:val="text-nowrap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thumbnail">
    <w:name w:val="img-thumbnail"/>
    <w:basedOn w:val="a"/>
    <w:rsid w:val="00D15D33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r-only">
    <w:name w:val="sr-only"/>
    <w:basedOn w:val="a"/>
    <w:rsid w:val="00D15D3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D15D33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ru-RU"/>
    </w:rPr>
  </w:style>
  <w:style w:type="paragraph" w:customStyle="1" w:styleId="h2">
    <w:name w:val="h2"/>
    <w:basedOn w:val="a"/>
    <w:rsid w:val="00D15D33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customStyle="1" w:styleId="h3">
    <w:name w:val="h3"/>
    <w:basedOn w:val="a"/>
    <w:rsid w:val="00D15D33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customStyle="1" w:styleId="h4">
    <w:name w:val="h4"/>
    <w:basedOn w:val="a"/>
    <w:rsid w:val="00D15D33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ru-RU"/>
    </w:rPr>
  </w:style>
  <w:style w:type="paragraph" w:customStyle="1" w:styleId="h5">
    <w:name w:val="h5"/>
    <w:basedOn w:val="a"/>
    <w:rsid w:val="00D15D33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ru-RU"/>
    </w:rPr>
  </w:style>
  <w:style w:type="paragraph" w:customStyle="1" w:styleId="h6">
    <w:name w:val="h6"/>
    <w:basedOn w:val="a"/>
    <w:rsid w:val="00D15D33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ru-RU"/>
    </w:rPr>
  </w:style>
  <w:style w:type="paragraph" w:customStyle="1" w:styleId="lead">
    <w:name w:val="lead"/>
    <w:basedOn w:val="a"/>
    <w:rsid w:val="00D15D3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-inline">
    <w:name w:val="list-inline"/>
    <w:basedOn w:val="a"/>
    <w:rsid w:val="00D15D33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unstyled">
    <w:name w:val="list-unstyled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D15D33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D15D33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D15D33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uppercase">
    <w:name w:val="text-uppercas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text-muted">
    <w:name w:val="text-muted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text-primary">
    <w:name w:val="text-primary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ru-RU"/>
    </w:rPr>
  </w:style>
  <w:style w:type="paragraph" w:customStyle="1" w:styleId="text-success">
    <w:name w:val="text-success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text-info">
    <w:name w:val="text-info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ru-RU"/>
    </w:rPr>
  </w:style>
  <w:style w:type="paragraph" w:customStyle="1" w:styleId="text-warning">
    <w:name w:val="text-warning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text-danger">
    <w:name w:val="text-danger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bg-primary">
    <w:name w:val="bg-primary"/>
    <w:basedOn w:val="a"/>
    <w:rsid w:val="00D15D33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g-success">
    <w:name w:val="bg-success"/>
    <w:basedOn w:val="a"/>
    <w:rsid w:val="00D15D33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D15D33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D15D33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danger">
    <w:name w:val="bg-danger"/>
    <w:basedOn w:val="a"/>
    <w:rsid w:val="00D15D33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D15D33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D15D3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inlineli">
    <w:name w:val="list-inline&gt;li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">
    <w:name w:val="checkbox-inline"/>
    <w:basedOn w:val="a"/>
    <w:rsid w:val="00D15D3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">
    <w:name w:val="radio-inline"/>
    <w:basedOn w:val="a"/>
    <w:rsid w:val="00D15D3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fluid">
    <w:name w:val="container-fluid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tialism">
    <w:name w:val="initialism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tabletbodytrtd">
    <w:name w:val="table&gt;tbody&gt;tr&gt;td"/>
    <w:basedOn w:val="a"/>
    <w:rsid w:val="00D15D3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bodytrth">
    <w:name w:val="table&gt;tbody&gt;tr&gt;th"/>
    <w:basedOn w:val="a"/>
    <w:rsid w:val="00D15D3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foottrtd">
    <w:name w:val="table&gt;tfoot&gt;tr&gt;td"/>
    <w:basedOn w:val="a"/>
    <w:rsid w:val="00D15D3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foottrth">
    <w:name w:val="table&gt;tfoot&gt;tr&gt;th"/>
    <w:basedOn w:val="a"/>
    <w:rsid w:val="00D15D3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headtrtd">
    <w:name w:val="table&gt;thead&gt;tr&gt;td"/>
    <w:basedOn w:val="a"/>
    <w:rsid w:val="00D15D33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headtrth">
    <w:name w:val="table&gt;thead&gt;tr&gt;th"/>
    <w:basedOn w:val="a"/>
    <w:rsid w:val="00D15D33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">
    <w:name w:val="btn-group"/>
    <w:basedOn w:val="a"/>
    <w:rsid w:val="00D15D3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vertical">
    <w:name w:val="btn-group-vertical"/>
    <w:basedOn w:val="a"/>
    <w:rsid w:val="00D15D33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primary">
    <w:name w:val="btn-primary"/>
    <w:basedOn w:val="a"/>
    <w:rsid w:val="00D15D33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success">
    <w:name w:val="btn-success"/>
    <w:basedOn w:val="a"/>
    <w:rsid w:val="00D15D33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tn-toolbar">
    <w:name w:val="btn-toolbar"/>
    <w:basedOn w:val="a"/>
    <w:rsid w:val="00D15D33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group-justified">
    <w:name w:val="btn-group-justified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">
    <w:name w:val="form-control"/>
    <w:basedOn w:val="a"/>
    <w:rsid w:val="00D15D3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group">
    <w:name w:val="form-group"/>
    <w:basedOn w:val="a"/>
    <w:rsid w:val="00D15D3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">
    <w:name w:val="checkbox"/>
    <w:basedOn w:val="a"/>
    <w:rsid w:val="00D15D3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">
    <w:name w:val="radio"/>
    <w:basedOn w:val="a"/>
    <w:rsid w:val="00D15D3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-static">
    <w:name w:val="form-control-static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sm">
    <w:name w:val="input-sm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nput-lg">
    <w:name w:val="input-lg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rm-control-feedback">
    <w:name w:val="form-control-feedback"/>
    <w:basedOn w:val="a"/>
    <w:rsid w:val="00D15D33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block">
    <w:name w:val="help-block"/>
    <w:basedOn w:val="a"/>
    <w:rsid w:val="00D15D33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ru-RU"/>
    </w:rPr>
  </w:style>
  <w:style w:type="paragraph" w:customStyle="1" w:styleId="center-block">
    <w:name w:val="center-block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hide">
    <w:name w:val="text-hid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-icon">
    <w:name w:val="svg-icon"/>
    <w:basedOn w:val="a"/>
    <w:rsid w:val="00D15D33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D15D33"/>
    <w:pPr>
      <w:pBdr>
        <w:top w:val="single" w:sz="6" w:space="0" w:color="A9B1B5"/>
        <w:left w:val="single" w:sz="12" w:space="0" w:color="A9B1B5"/>
        <w:bottom w:val="single" w:sz="6" w:space="0" w:color="A9B1B5"/>
        <w:right w:val="single" w:sz="12" w:space="0" w:color="A9B1B5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438DAD"/>
      <w:sz w:val="33"/>
      <w:szCs w:val="33"/>
      <w:lang w:eastAsia="ru-RU"/>
    </w:rPr>
  </w:style>
  <w:style w:type="paragraph" w:customStyle="1" w:styleId="btn-move-up">
    <w:name w:val="btn-move-up"/>
    <w:basedOn w:val="a"/>
    <w:rsid w:val="00D15D33"/>
    <w:pPr>
      <w:shd w:val="clear" w:color="auto" w:fill="E1E7ED"/>
      <w:spacing w:after="150" w:line="240" w:lineRule="auto"/>
    </w:pPr>
    <w:rPr>
      <w:rFonts w:ascii="Times New Roman" w:eastAsia="Times New Roman" w:hAnsi="Times New Roman" w:cs="Times New Roman"/>
      <w:vanish/>
      <w:color w:val="2B587A"/>
      <w:sz w:val="24"/>
      <w:szCs w:val="24"/>
      <w:lang w:eastAsia="ru-RU"/>
    </w:rPr>
  </w:style>
  <w:style w:type="paragraph" w:customStyle="1" w:styleId="noty">
    <w:name w:val="noty"/>
    <w:basedOn w:val="a"/>
    <w:rsid w:val="00D15D33"/>
    <w:pPr>
      <w:shd w:val="clear" w:color="auto" w:fill="FDE073"/>
      <w:spacing w:after="0" w:line="240" w:lineRule="auto"/>
      <w:ind w:left="75" w:right="75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otercontainer">
    <w:name w:val="footer__container"/>
    <w:basedOn w:val="a"/>
    <w:rsid w:val="00D15D33"/>
    <w:pPr>
      <w:spacing w:after="12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nformation">
    <w:name w:val="page-information"/>
    <w:basedOn w:val="a"/>
    <w:rsid w:val="00D15D33"/>
    <w:pPr>
      <w:shd w:val="clear" w:color="auto" w:fill="F0F6FB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nformationname">
    <w:name w:val="page-information__name"/>
    <w:basedOn w:val="a"/>
    <w:rsid w:val="00D15D33"/>
    <w:pPr>
      <w:wordWrap w:val="0"/>
      <w:spacing w:before="90" w:after="150" w:line="240" w:lineRule="auto"/>
    </w:pPr>
    <w:rPr>
      <w:rFonts w:ascii="Times New Roman" w:eastAsia="Times New Roman" w:hAnsi="Times New Roman" w:cs="Times New Roman"/>
      <w:b/>
      <w:bCs/>
      <w:color w:val="438DAD"/>
      <w:sz w:val="48"/>
      <w:szCs w:val="48"/>
      <w:lang w:eastAsia="ru-RU"/>
    </w:rPr>
  </w:style>
  <w:style w:type="paragraph" w:customStyle="1" w:styleId="page-sectiontitle">
    <w:name w:val="page-section__title"/>
    <w:basedOn w:val="a"/>
    <w:rsid w:val="00D15D33"/>
    <w:pPr>
      <w:shd w:val="clear" w:color="auto" w:fill="6A9FBE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41"/>
      <w:szCs w:val="41"/>
      <w:lang w:eastAsia="ru-RU"/>
    </w:rPr>
  </w:style>
  <w:style w:type="paragraph" w:customStyle="1" w:styleId="page-sectiontitle-link">
    <w:name w:val="page-section__title-link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age-field">
    <w:name w:val="page-field"/>
    <w:basedOn w:val="a"/>
    <w:rsid w:val="00D15D33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sectionrow">
    <w:name w:val="page-section__row"/>
    <w:basedOn w:val="a"/>
    <w:rsid w:val="00D15D33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-actions">
    <w:name w:val="page-links-actions"/>
    <w:basedOn w:val="a"/>
    <w:rsid w:val="00D15D33"/>
    <w:pPr>
      <w:spacing w:before="75" w:after="15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ttention-self-treatment-list">
    <w:name w:val="attention-self-treatment-list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send-attachment-files-to-email">
    <w:name w:val="page-send-attachment-files-to-email"/>
    <w:basedOn w:val="a"/>
    <w:rsid w:val="00D15D3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overlay">
    <w:name w:val="image-overlay"/>
    <w:basedOn w:val="a"/>
    <w:rsid w:val="00D15D33"/>
    <w:pPr>
      <w:spacing w:after="15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-send-attachment-files-to-emailbutton">
    <w:name w:val="page-send-attachment-files-to-email__button"/>
    <w:basedOn w:val="a"/>
    <w:rsid w:val="00D15D33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send-attachment-files-to-emailemail">
    <w:name w:val="page-send-attachment-files-to-email__email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items">
    <w:name w:val="footer-items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">
    <w:name w:val="caret"/>
    <w:basedOn w:val="a"/>
    <w:rsid w:val="00D15D33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overlaybtn-close">
    <w:name w:val="image-overlay__btn-close"/>
    <w:basedOn w:val="a"/>
    <w:rsid w:val="00D15D33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68"/>
      <w:szCs w:val="68"/>
      <w:lang w:eastAsia="ru-RU"/>
    </w:rPr>
  </w:style>
  <w:style w:type="paragraph" w:customStyle="1" w:styleId="image-overlaypreview">
    <w:name w:val="image-overlay__preview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">
    <w:name w:val="main-nav"/>
    <w:basedOn w:val="a"/>
    <w:rsid w:val="00D15D33"/>
    <w:pPr>
      <w:pBdr>
        <w:bottom w:val="single" w:sz="6" w:space="0" w:color="337AB7"/>
        <w:right w:val="single" w:sz="6" w:space="0" w:color="337AB7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menu-itemtitle">
    <w:name w:val="main-menu-item__title"/>
    <w:basedOn w:val="a"/>
    <w:rsid w:val="00D15D33"/>
    <w:pPr>
      <w:spacing w:after="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sub-menu-itemlink">
    <w:name w:val="sub-menu-item__link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58595B"/>
      <w:sz w:val="21"/>
      <w:szCs w:val="21"/>
      <w:lang w:eastAsia="ru-RU"/>
    </w:rPr>
  </w:style>
  <w:style w:type="paragraph" w:customStyle="1" w:styleId="main-nav--show">
    <w:name w:val="main-nav--show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--hide">
    <w:name w:val="main-nav--hid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nav-btn-menu">
    <w:name w:val="main-nav-btn-menu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nav-header">
    <w:name w:val="main-nav-header"/>
    <w:basedOn w:val="a"/>
    <w:rsid w:val="00D15D33"/>
    <w:pPr>
      <w:pBdr>
        <w:bottom w:val="single" w:sz="6" w:space="0" w:color="CCCCCC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-logo">
    <w:name w:val="main-nav-logo"/>
    <w:basedOn w:val="a"/>
    <w:rsid w:val="00D15D33"/>
    <w:pPr>
      <w:spacing w:before="75" w:after="75" w:line="240" w:lineRule="auto"/>
      <w:ind w:left="150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-btn-menu-close">
    <w:name w:val="main-nav-btn-menu-close"/>
    <w:basedOn w:val="a"/>
    <w:rsid w:val="00D15D33"/>
    <w:pPr>
      <w:spacing w:before="75" w:after="75" w:line="240" w:lineRule="auto"/>
      <w:ind w:left="75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-btn-menutitle">
    <w:name w:val="main-nav-btn-menu__title"/>
    <w:basedOn w:val="a"/>
    <w:rsid w:val="00D15D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 w:line="240" w:lineRule="auto"/>
      <w:ind w:right="225"/>
    </w:pPr>
    <w:rPr>
      <w:rFonts w:ascii="Times New Roman" w:eastAsia="Times New Roman" w:hAnsi="Times New Roman" w:cs="Times New Roman"/>
      <w:vanish/>
      <w:color w:val="FFFFFF"/>
      <w:sz w:val="2"/>
      <w:szCs w:val="2"/>
      <w:lang w:eastAsia="ru-RU"/>
    </w:rPr>
  </w:style>
  <w:style w:type="paragraph" w:customStyle="1" w:styleId="main-menu">
    <w:name w:val="main-menu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-menu">
    <w:name w:val="sub-menu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menu--desktop">
    <w:name w:val="main-menu--desktop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menu--show">
    <w:name w:val="main-menu--show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menu-itemstate">
    <w:name w:val="main-menu-item__stat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menu-item--logo">
    <w:name w:val="main-menu-item--logo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xed-buttons">
    <w:name w:val="fixed-buttons"/>
    <w:basedOn w:val="a"/>
    <w:rsid w:val="00D15D3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ed-buttonsbtn">
    <w:name w:val="fixed-buttons__btn"/>
    <w:basedOn w:val="a"/>
    <w:rsid w:val="00D15D33"/>
    <w:pPr>
      <w:spacing w:after="150" w:line="240" w:lineRule="auto"/>
      <w:ind w:left="-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ed-buttonsbtn--hide">
    <w:name w:val="fixed-buttons__btn--hid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-to-sectionbtn--close">
    <w:name w:val="go-to-section__btn--clos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-to-sectioncheckbox">
    <w:name w:val="go-to-section__checkbox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xed-buttonsbtntext">
    <w:name w:val="fixed-buttons__btn__text"/>
    <w:basedOn w:val="a"/>
    <w:rsid w:val="00D15D33"/>
    <w:pPr>
      <w:spacing w:after="150" w:line="37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o-to-sectionbtn">
    <w:name w:val="go-to-section__btn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-to-sectionsections-list">
    <w:name w:val="go-to-section__sections-list"/>
    <w:basedOn w:val="a"/>
    <w:rsid w:val="00D15D33"/>
    <w:pPr>
      <w:pBdr>
        <w:top w:val="single" w:sz="6" w:space="0" w:color="337AB7"/>
        <w:left w:val="single" w:sz="6" w:space="0" w:color="337AB7"/>
        <w:bottom w:val="single" w:sz="6" w:space="0" w:color="337AB7"/>
        <w:right w:val="single" w:sz="6" w:space="0" w:color="337AB7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-to-sectionsections-listitem">
    <w:name w:val="go-to-section__sections-list__item"/>
    <w:basedOn w:val="a"/>
    <w:rsid w:val="00D15D3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image">
    <w:name w:val="adve__imag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title">
    <w:name w:val="adve__title"/>
    <w:basedOn w:val="a"/>
    <w:rsid w:val="00D15D33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b/>
      <w:bCs/>
      <w:color w:val="FFFFFF"/>
      <w:sz w:val="45"/>
      <w:szCs w:val="45"/>
      <w:lang w:eastAsia="ru-RU"/>
    </w:rPr>
  </w:style>
  <w:style w:type="paragraph" w:customStyle="1" w:styleId="go-to-sectionsections-listitem-link">
    <w:name w:val="go-to-section__sections-list__item-link"/>
    <w:basedOn w:val="a"/>
    <w:rsid w:val="00D15D33"/>
    <w:pPr>
      <w:wordWrap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">
    <w:name w:val="adve-action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dve-action--show">
    <w:name w:val="adve-action--show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header">
    <w:name w:val="adve-action__header"/>
    <w:basedOn w:val="a"/>
    <w:rsid w:val="00D15D33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footer">
    <w:name w:val="adve-action__footer"/>
    <w:basedOn w:val="a"/>
    <w:rsid w:val="00D15D3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btn-close">
    <w:name w:val="adve-action__btn-clos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adve-actionloading">
    <w:name w:val="adve-action__loading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dve-action--callback">
    <w:name w:val="adve-action--callback"/>
    <w:basedOn w:val="a"/>
    <w:rsid w:val="00D15D33"/>
    <w:pPr>
      <w:shd w:val="clear" w:color="auto" w:fill="F5FB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--send-request">
    <w:name w:val="adve-action--send-request"/>
    <w:basedOn w:val="a"/>
    <w:rsid w:val="00D15D33"/>
    <w:pPr>
      <w:shd w:val="clear" w:color="auto" w:fill="F5FB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label--contacttime">
    <w:name w:val="adve-action__label--contact_time"/>
    <w:basedOn w:val="a"/>
    <w:rsid w:val="00D15D33"/>
    <w:pP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text">
    <w:name w:val="adve-action__text"/>
    <w:basedOn w:val="a"/>
    <w:rsid w:val="00D15D33"/>
    <w:pPr>
      <w:spacing w:after="375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ve-actionlabel">
    <w:name w:val="adve-action__label"/>
    <w:basedOn w:val="a"/>
    <w:rsid w:val="00D15D3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it-name">
    <w:name w:val="adve-action__it-nam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">
    <w:name w:val="adve"/>
    <w:basedOn w:val="a"/>
    <w:rsid w:val="00D15D33"/>
    <w:pPr>
      <w:shd w:val="clear" w:color="auto" w:fill="F0F6FB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ease-informationarchive">
    <w:name w:val="disease-information__archiv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aps/>
      <w:color w:val="FF0000"/>
      <w:sz w:val="24"/>
      <w:szCs w:val="24"/>
      <w:lang w:eastAsia="ru-RU"/>
    </w:rPr>
  </w:style>
  <w:style w:type="paragraph" w:customStyle="1" w:styleId="disease-informationrcrz-logo">
    <w:name w:val="disease-information__rcrz-logo"/>
    <w:basedOn w:val="a"/>
    <w:rsid w:val="00D15D33"/>
    <w:pPr>
      <w:spacing w:before="75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easelist-drugstitle">
    <w:name w:val="disease__list-drugs__title"/>
    <w:basedOn w:val="a"/>
    <w:rsid w:val="00D15D33"/>
    <w:pPr>
      <w:spacing w:after="4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oltip-term">
    <w:name w:val="tooltip-term"/>
    <w:basedOn w:val="a"/>
    <w:rsid w:val="00D15D33"/>
    <w:pPr>
      <w:shd w:val="clear" w:color="auto" w:fill="F0F6FB"/>
      <w:spacing w:after="150" w:line="240" w:lineRule="auto"/>
      <w:ind w:firstLine="315"/>
    </w:pPr>
    <w:rPr>
      <w:rFonts w:ascii="Times New Roman" w:eastAsia="Times New Roman" w:hAnsi="Times New Roman" w:cs="Times New Roman"/>
      <w:vanish/>
      <w:color w:val="4A4A4A"/>
      <w:sz w:val="24"/>
      <w:szCs w:val="24"/>
      <w:lang w:eastAsia="ru-RU"/>
    </w:rPr>
  </w:style>
  <w:style w:type="paragraph" w:customStyle="1" w:styleId="tooltip-termimg">
    <w:name w:val="tooltip-term__img"/>
    <w:basedOn w:val="a"/>
    <w:rsid w:val="00D15D33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-termmore">
    <w:name w:val="tooltip-term__more"/>
    <w:basedOn w:val="a"/>
    <w:rsid w:val="00D15D33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attention">
    <w:name w:val="tooltip_attention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dge">
    <w:name w:val="badg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">
    <w:name w:val="input-group-addon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-icon-close">
    <w:name w:val="svg-icon-close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ed-buttonsbtn-go-to-main">
    <w:name w:val="fixed-buttons__btn-go-to-main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xed-buttonsbtn-menu">
    <w:name w:val="fixed-buttons__btn-menu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diagnosis">
    <w:name w:val="adve-action__diagnosis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it-description-header">
    <w:name w:val="adve-action__it-description-header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it-description-header-text">
    <w:name w:val="adve-action__it-description-header-text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ut">
    <w:name w:val="logout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in">
    <w:name w:val="signin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1">
    <w:name w:val="small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2">
    <w:name w:val="small2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3">
    <w:name w:val="small3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4">
    <w:name w:val="small4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5">
    <w:name w:val="small5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6">
    <w:name w:val="small6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7">
    <w:name w:val="small7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8">
    <w:name w:val="small8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9">
    <w:name w:val="small9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ru-RU"/>
    </w:rPr>
  </w:style>
  <w:style w:type="paragraph" w:customStyle="1" w:styleId="small10">
    <w:name w:val="small10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11">
    <w:name w:val="small1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small12">
    <w:name w:val="small12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ru-RU"/>
    </w:rPr>
  </w:style>
  <w:style w:type="paragraph" w:customStyle="1" w:styleId="table1">
    <w:name w:val="table1"/>
    <w:basedOn w:val="a"/>
    <w:rsid w:val="00D15D33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dge1">
    <w:name w:val="badge1"/>
    <w:basedOn w:val="a"/>
    <w:rsid w:val="00D15D33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ru-RU"/>
    </w:rPr>
  </w:style>
  <w:style w:type="paragraph" w:customStyle="1" w:styleId="badge2">
    <w:name w:val="badge2"/>
    <w:basedOn w:val="a"/>
    <w:rsid w:val="00D15D33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CB85C"/>
      <w:sz w:val="24"/>
      <w:szCs w:val="24"/>
      <w:lang w:eastAsia="ru-RU"/>
    </w:rPr>
  </w:style>
  <w:style w:type="paragraph" w:customStyle="1" w:styleId="caret1">
    <w:name w:val="caret1"/>
    <w:basedOn w:val="a"/>
    <w:rsid w:val="00D15D33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et2">
    <w:name w:val="caret2"/>
    <w:basedOn w:val="a"/>
    <w:rsid w:val="00D15D33"/>
    <w:pPr>
      <w:pBdr>
        <w:top w:val="dashed" w:sz="2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1">
    <w:name w:val="form-control1"/>
    <w:basedOn w:val="a"/>
    <w:rsid w:val="00D15D3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-control2">
    <w:name w:val="form-control2"/>
    <w:basedOn w:val="a"/>
    <w:rsid w:val="00D15D3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rm-control-static1">
    <w:name w:val="form-control-static1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rm-control-static2">
    <w:name w:val="form-control-static2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rm-control3">
    <w:name w:val="form-control3"/>
    <w:basedOn w:val="a"/>
    <w:rsid w:val="00D15D33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ontrol4">
    <w:name w:val="form-control4"/>
    <w:basedOn w:val="a"/>
    <w:rsid w:val="00D15D33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1">
    <w:name w:val="input-group-addon1"/>
    <w:basedOn w:val="a"/>
    <w:rsid w:val="00D15D33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ru-RU"/>
    </w:rPr>
  </w:style>
  <w:style w:type="paragraph" w:customStyle="1" w:styleId="form-control5">
    <w:name w:val="form-control5"/>
    <w:basedOn w:val="a"/>
    <w:rsid w:val="00D15D33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2">
    <w:name w:val="input-group-addon2"/>
    <w:basedOn w:val="a"/>
    <w:rsid w:val="00D15D33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ru-RU"/>
    </w:rPr>
  </w:style>
  <w:style w:type="paragraph" w:customStyle="1" w:styleId="form-control6">
    <w:name w:val="form-control6"/>
    <w:basedOn w:val="a"/>
    <w:rsid w:val="00D15D33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-group-addon3">
    <w:name w:val="input-group-addon3"/>
    <w:basedOn w:val="a"/>
    <w:rsid w:val="00D15D33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ru-RU"/>
    </w:rPr>
  </w:style>
  <w:style w:type="paragraph" w:customStyle="1" w:styleId="checkbox1">
    <w:name w:val="checkbox1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ox-inline1">
    <w:name w:val="checkbox-inline1"/>
    <w:basedOn w:val="a"/>
    <w:rsid w:val="00D15D3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1">
    <w:name w:val="radio1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dio-inline1">
    <w:name w:val="radio-inline1"/>
    <w:basedOn w:val="a"/>
    <w:rsid w:val="00D15D3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group1">
    <w:name w:val="form-group1"/>
    <w:basedOn w:val="a"/>
    <w:rsid w:val="00D15D33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-icon1">
    <w:name w:val="svg-icon1"/>
    <w:basedOn w:val="a"/>
    <w:rsid w:val="00D15D33"/>
    <w:pPr>
      <w:spacing w:after="150" w:line="240" w:lineRule="auto"/>
      <w:ind w:right="7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information1">
    <w:name w:val="page-information1"/>
    <w:basedOn w:val="a"/>
    <w:rsid w:val="00D15D33"/>
    <w:pPr>
      <w:shd w:val="clear" w:color="auto" w:fill="F0F6FB"/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ut1">
    <w:name w:val="logout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gnin1">
    <w:name w:val="signin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ntainer-fluid1">
    <w:name w:val="container-fluid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g-icon-close1">
    <w:name w:val="svg-icon-close1"/>
    <w:basedOn w:val="a"/>
    <w:rsid w:val="00D15D33"/>
    <w:pPr>
      <w:spacing w:after="150" w:line="240" w:lineRule="auto"/>
      <w:ind w:lef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xed-buttonsbtn-go-to-main1">
    <w:name w:val="fixed-buttons__btn-go-to-main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xed-buttonsbtn-menu1">
    <w:name w:val="fixed-buttons__btn-menu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o-to-sectionbtn1">
    <w:name w:val="go-to-section__btn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text1">
    <w:name w:val="adve-action__text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ve-actiontext2">
    <w:name w:val="adve-action__text2"/>
    <w:basedOn w:val="a"/>
    <w:rsid w:val="00D15D33"/>
    <w:pPr>
      <w:spacing w:after="75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dve-actiontext3">
    <w:name w:val="adve-action__text3"/>
    <w:basedOn w:val="a"/>
    <w:rsid w:val="00D15D33"/>
    <w:pPr>
      <w:spacing w:after="75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dve-actiondiagnosis1">
    <w:name w:val="adve-action__diagnosis1"/>
    <w:basedOn w:val="a"/>
    <w:rsid w:val="00D15D3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it-description-header1">
    <w:name w:val="adve-action__it-description-header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adve-actionit-description-header-text1">
    <w:name w:val="adve-action__it-description-header-text1"/>
    <w:basedOn w:val="a"/>
    <w:rsid w:val="00D1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e-action1">
    <w:name w:val="adve-action1"/>
    <w:basedOn w:val="a"/>
    <w:rsid w:val="00D15D33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caret3">
    <w:name w:val="caret3"/>
    <w:basedOn w:val="a0"/>
    <w:rsid w:val="00D15D33"/>
    <w:rPr>
      <w:bdr w:val="dashed" w:sz="24" w:space="0" w:color="auto" w:frame="1"/>
    </w:rPr>
  </w:style>
  <w:style w:type="character" w:styleId="a7">
    <w:name w:val="Emphasis"/>
    <w:basedOn w:val="a0"/>
    <w:uiPriority w:val="20"/>
    <w:qFormat/>
    <w:rsid w:val="00D15D3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5D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5D3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js-btn-send-caption">
    <w:name w:val="js-btn-send-caption"/>
    <w:basedOn w:val="a0"/>
    <w:rsid w:val="00D15D33"/>
  </w:style>
  <w:style w:type="character" w:customStyle="1" w:styleId="js-loading">
    <w:name w:val="js-loading"/>
    <w:basedOn w:val="a0"/>
    <w:rsid w:val="00D15D3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5D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5D3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js-btn-go-to-section--open">
    <w:name w:val="js-btn-go-to-section--open"/>
    <w:basedOn w:val="a0"/>
    <w:rsid w:val="00D15D33"/>
  </w:style>
  <w:style w:type="character" w:customStyle="1" w:styleId="fixed-buttonsbtntext1">
    <w:name w:val="fixed-buttons__btn__text1"/>
    <w:basedOn w:val="a0"/>
    <w:rsid w:val="00D15D33"/>
    <w:rPr>
      <w:color w:val="FFFFFF"/>
    </w:rPr>
  </w:style>
  <w:style w:type="character" w:customStyle="1" w:styleId="js-btn-close">
    <w:name w:val="js-btn-close"/>
    <w:basedOn w:val="a0"/>
    <w:rsid w:val="00D1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0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0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39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09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7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1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44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9884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0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0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iseases.medelement.com/disease/%D1%80%D0%B5%D0%B0%D0%BA%D1%82%D0%B8%D0%B2%D0%BD%D1%8B%D0%B5-%D0%B0%D1%80%D1%82%D1%80%D0%B8%D1%82%D1%8B/149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indow.print(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iseases.medelement.com/disease/%D1%80%D0%B5%D0%B0%D0%BA%D1%82%D0%B8%D0%B2%D0%BD%D1%8B%D0%B5-%D0%B0%D1%80%D1%82%D1%80%D0%B8%D1%82%D1%8B/14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ugs.medeleme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3846</Words>
  <Characters>21927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2020-05-07T08:20:00Z</dcterms:created>
  <dcterms:modified xsi:type="dcterms:W3CDTF">2020-09-10T05:30:00Z</dcterms:modified>
</cp:coreProperties>
</file>