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E07" w:rsidRPr="007579E3" w:rsidRDefault="00886E07" w:rsidP="00886E07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Абсцесс дугласова пространства</w:t>
      </w:r>
    </w:p>
    <w:p w:rsidR="00886E07" w:rsidRDefault="00886E07" w:rsidP="00886E07">
      <w:pPr>
        <w:spacing w:before="120"/>
        <w:ind w:firstLine="567"/>
        <w:jc w:val="both"/>
      </w:pPr>
      <w:r w:rsidRPr="007579E3">
        <w:t xml:space="preserve">Абсцесс дугласова пространства обусловлен большей частью перфоративным аппендицитом, перфорацией дивертикула ободочной кишки, реже он является остаточным гнойником при лечении диффузных форм перитонита.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В связи с тем что гнойник не имеет непосредственного контакта с передней брюшной стенкой, при пальпации брюшной стенки патологических признаков и симптомов выявить практически не удается.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Больные жалуются на чувство тяжести, распирание, боль в нижней половине живота, учащенное и болезненное мочеиспускание, учащение стула или понос с тенезмами.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При пальцевом ректальном или вагинальном исследовании на передней стенке прямой кишки определяется болезненный инфильтрат с размягчением в центре.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Необходим дифференциальный диагноз с воспалительными заболеваниями женской половой сферы.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Лечение. Трансректальное или трансвагинальное вскрытие и дренирование гнойника.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Прогноз при одиночном тазовом абсцессе обычно благоприятный.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Межкишечный абсцесс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Абсцесс межкишечный располагается между петлями кишечника, брыжейкой, брюшной стенкой и сальником.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Брыжейка поперечной ободочной кишки является барьером на пути распространения гнойника на верхний этаж брюшной полости.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Межкишечные абсцессы часто множественные.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Точную локализацию и размер гнойника устанавливают при ультразвуковом исследовании и компьютерной рентгеновской томографии.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Нередко межкишечный абсцесс сочетается с тазовым абсцессом.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Диагноз обычно труден. Подозревать развитие межкишечного абсцесса возможно у больного, перенесшего перитонит с неполным выздоровлением, при рецидиве симптомов гнойной интоксикации организма.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При осмотре определяются напряжение брюшных мышц и выраженная болезненность в области гнойника, в ряде случаев - асимметрия брюшной стенки (особенно при гнойниках, имеющих контакт с брюшной стенкой).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При пальпации может определяться патологическое образование, умеренно болезненное и неподвижное.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При обзорной рентгеноскопии органов брюшной полости - уровень жидкости, явления пареза кишечкика, оттеснение петель кишки при контрастном исследовании.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Лечение оперативное - вскрытие и дренирование гнойника.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Перед операцией обязательна премедикация антибиотиками и метронидазолом.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Доступ зависит от локализации и количества гнойников. При множественных гнойниках приходится широко вскрывать брюшную полость.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Прогноз при одиночных гнойниках обычно благоприятный.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Осложнения: сепсис, прорыв гнойника в свободную брюшную полость с развитием перитонита.</w:t>
      </w:r>
    </w:p>
    <w:p w:rsidR="00886E07" w:rsidRPr="007579E3" w:rsidRDefault="00886E07" w:rsidP="00886E07">
      <w:pPr>
        <w:spacing w:before="120"/>
        <w:jc w:val="center"/>
        <w:rPr>
          <w:b/>
          <w:bCs/>
          <w:sz w:val="28"/>
          <w:szCs w:val="28"/>
        </w:rPr>
      </w:pPr>
      <w:r w:rsidRPr="007579E3">
        <w:rPr>
          <w:b/>
          <w:bCs/>
          <w:sz w:val="28"/>
          <w:szCs w:val="28"/>
        </w:rPr>
        <w:lastRenderedPageBreak/>
        <w:t>Список литературы</w:t>
      </w:r>
    </w:p>
    <w:p w:rsidR="00886E07" w:rsidRPr="00886E07" w:rsidRDefault="00886E07" w:rsidP="00886E07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  <w:u w:val="none"/>
          </w:rPr>
          <w:t>http://medicall.ru/</w:t>
        </w:r>
      </w:hyperlink>
    </w:p>
    <w:p w:rsidR="00886E07" w:rsidRDefault="00886E07"/>
    <w:sectPr w:rsidR="00886E07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07"/>
    <w:rsid w:val="003E2EE0"/>
    <w:rsid w:val="007579E3"/>
    <w:rsid w:val="00886E07"/>
    <w:rsid w:val="00B8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D59451-4E43-4EDD-81C8-9005C9D5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E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6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 дугласова пространства</dc:title>
  <dc:subject/>
  <dc:creator>Alena</dc:creator>
  <cp:keywords/>
  <dc:description/>
  <cp:lastModifiedBy>Igor</cp:lastModifiedBy>
  <cp:revision>2</cp:revision>
  <dcterms:created xsi:type="dcterms:W3CDTF">2024-10-08T17:09:00Z</dcterms:created>
  <dcterms:modified xsi:type="dcterms:W3CDTF">2024-10-08T17:09:00Z</dcterms:modified>
</cp:coreProperties>
</file>