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476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Аденомиоз</w:t>
      </w:r>
    </w:p>
    <w:p w:rsidR="00000000" w:rsidRDefault="00BE476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такое аденомиоз.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Термин "аденомиоз" состоит из двух частей - приставки "адено", указывающей на связь с некой железой или железами, и корня "миоз", который обычно употребляется для характеристик</w:t>
      </w:r>
      <w:r>
        <w:rPr>
          <w:color w:val="000000"/>
          <w:sz w:val="24"/>
          <w:szCs w:val="24"/>
        </w:rPr>
        <w:t>и различных воспалений. Таким образом, аденомиоз можно определить как связанный с деятельностью желез (т.е. гормональнозависимый) воспалительный процесс. Аденомиоз является одним из частных случаев эндометриоза, локализуется он в мышечном слое самой матки,</w:t>
      </w:r>
      <w:r>
        <w:rPr>
          <w:color w:val="000000"/>
          <w:sz w:val="24"/>
          <w:szCs w:val="24"/>
        </w:rPr>
        <w:t xml:space="preserve"> и поэтому его второе название - внутренний генитальный эндометриоз.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Сущность заболевания заключается в том, что ткани эндометрия (слизистой оболочки матки) попадают в другие отделы организма (в данном случае - в маточный мышечный слой) и начинают разраст</w:t>
      </w:r>
      <w:r>
        <w:rPr>
          <w:color w:val="000000"/>
          <w:sz w:val="24"/>
          <w:szCs w:val="24"/>
        </w:rPr>
        <w:t>аться, вызывая сбои в нормальном функционировании системы. Этот процесс, как правило, сопровождается нарушением выработки гормонов и падением иммунитета, что приводит к появлению болезненных симптомов (см. ниже). Также возможны реакции, похожие на аллергич</w:t>
      </w:r>
      <w:r>
        <w:rPr>
          <w:color w:val="000000"/>
          <w:sz w:val="24"/>
          <w:szCs w:val="24"/>
        </w:rPr>
        <w:t xml:space="preserve">еские - пораженный участок увеличивается в размерах, отекает.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данным исследователей, и практика специалистов нашего медицинского центра "Престиж" это полностью подтверждает, аденомиозу, в основном, подвержены женщины после 35 - 40 лет. Причины то</w:t>
      </w:r>
      <w:r>
        <w:rPr>
          <w:color w:val="000000"/>
          <w:sz w:val="24"/>
          <w:szCs w:val="24"/>
        </w:rPr>
        <w:t>го, что именно эта категория женщин в основном страдает от данного заболевания, точно не выяснены, однако можно предположить некую связь между общим состоянием организма и развитием болезни. Так, в молодом возрасте иммунная и другие системы гораздо устойчи</w:t>
      </w:r>
      <w:r>
        <w:rPr>
          <w:color w:val="000000"/>
          <w:sz w:val="24"/>
          <w:szCs w:val="24"/>
        </w:rPr>
        <w:t>вее к различного рода негативным воздействиям и могут самостоятельно побороть их. Между тем, с возрастом, в процессе неизбежного старения, понижается сопротивляемость организма к ряду отрицательных факторов, что при невнимательном отношением к своему здоро</w:t>
      </w:r>
      <w:r>
        <w:rPr>
          <w:color w:val="000000"/>
          <w:sz w:val="24"/>
          <w:szCs w:val="24"/>
        </w:rPr>
        <w:t xml:space="preserve">вью приводит ко всяческим болезням, в частности, аденомиозу. </w:t>
      </w:r>
    </w:p>
    <w:p w:rsidR="00000000" w:rsidRDefault="00BE476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 аденомиоза.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типичными для аденомиоза являются такие симптомы, как: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боли в тазовой области перед менструацией, во время ее, а также несколько дней спустя;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темно-коричневые выд</w:t>
      </w:r>
      <w:r>
        <w:rPr>
          <w:color w:val="000000"/>
          <w:sz w:val="24"/>
          <w:szCs w:val="24"/>
        </w:rPr>
        <w:t xml:space="preserve">еления из половых путей за некоторое время до менструации и после нее;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различные нарушения менструального цикла (как правило, его сокращение);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изменение величины и формы матки (данный симптом устанавливается при проведении специального обследования)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</w:t>
      </w:r>
      <w:r>
        <w:rPr>
          <w:color w:val="000000"/>
          <w:sz w:val="24"/>
          <w:szCs w:val="24"/>
        </w:rPr>
        <w:t xml:space="preserve">пареуния (болезненные ощущения во время полового акта)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примерно у 40 % женщин, которым был поставлен диагноз "аденомиоз", наблюдаются чрезмерно обильные менструации. Примерно столько же страдают предменструальным синдромом (обычно в средней ил</w:t>
      </w:r>
      <w:r>
        <w:rPr>
          <w:color w:val="000000"/>
          <w:sz w:val="24"/>
          <w:szCs w:val="24"/>
        </w:rPr>
        <w:t xml:space="preserve">и тяжелой форме).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Аденомиоз является одной из самых частых причин невозможности родить ребенка. Примерно у половины женщин, обращающихся в наш медицинский центр по вопросам бесплодия, выявляется аденомиоз. </w:t>
      </w:r>
    </w:p>
    <w:p w:rsidR="00000000" w:rsidRDefault="00BE476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Причины аденомиоза.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Аденомиоз как отдельное забо</w:t>
      </w:r>
      <w:r>
        <w:rPr>
          <w:color w:val="000000"/>
          <w:sz w:val="24"/>
          <w:szCs w:val="24"/>
        </w:rPr>
        <w:t xml:space="preserve">левание начал рассматриваться в гинекологической практике не так давно, поэтому его причины и механизм возникновения не до конца ясны. Так как это одна из разновидностей эндометриоза, то, очевидно, клетки эндометрия под </w:t>
      </w:r>
      <w:r>
        <w:rPr>
          <w:color w:val="000000"/>
          <w:sz w:val="24"/>
          <w:szCs w:val="24"/>
        </w:rPr>
        <w:lastRenderedPageBreak/>
        <w:t>воздействием неких факторов начинают</w:t>
      </w:r>
      <w:r>
        <w:rPr>
          <w:color w:val="000000"/>
          <w:sz w:val="24"/>
          <w:szCs w:val="24"/>
        </w:rPr>
        <w:t xml:space="preserve"> разрастаться не только в слизистой оболочке матки, но и в ее мышечном слое. Функционируя точно так же, как и в обычных условиях, эти клетки во второй половине цикла увеличиваются в размерах, чтобы принять зародыша. Однако если беременность не наступает, "</w:t>
      </w:r>
      <w:r>
        <w:rPr>
          <w:color w:val="000000"/>
          <w:sz w:val="24"/>
          <w:szCs w:val="24"/>
        </w:rPr>
        <w:t>лишние" части эндометрия выходят наружу вместе с менструальной кровью. При этом в мышечном слое матки нет таких путей, через которые организм мог бы освободиться от ненужных ему тканей. В результате этого происходит маленькое кровоизлияние, вызывающее восп</w:t>
      </w:r>
      <w:r>
        <w:rPr>
          <w:color w:val="000000"/>
          <w:sz w:val="24"/>
          <w:szCs w:val="24"/>
        </w:rPr>
        <w:t xml:space="preserve">алительный процесс.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взгляд на механизм возникновения аденомиоза является одним из самых распространенных на сегодняшний день. Но вместе с тем, ученые до сих пор не могут точно определить, какие же факторы вызывают разрастание маточных тканей за пре</w:t>
      </w:r>
      <w:r>
        <w:rPr>
          <w:color w:val="000000"/>
          <w:sz w:val="24"/>
          <w:szCs w:val="24"/>
        </w:rPr>
        <w:t>делами ее слизистой оболочки. Принято считать, что существует некоторая генетическая предрасположенность к заболеванию. Однако не все женщины, у матерей или других ближайших родственниц которых обнаружен аденомиоз, им заболевают. Таким образом, можно предп</w:t>
      </w:r>
      <w:r>
        <w:rPr>
          <w:color w:val="000000"/>
          <w:sz w:val="24"/>
          <w:szCs w:val="24"/>
        </w:rPr>
        <w:t xml:space="preserve">оложить, что существуют не только наследственные, но и различные индивидуальные причины аденомиоза.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Специалисты нашего медицинского центра "Престиж", исходя из своей практики, говорят о следующих факторах, которые могут повлиять на развитие аденомиоза. Во</w:t>
      </w:r>
      <w:r>
        <w:rPr>
          <w:color w:val="000000"/>
          <w:sz w:val="24"/>
          <w:szCs w:val="24"/>
        </w:rPr>
        <w:t>-первых, это постоянные стрессовые ситуации и напряжение, часто возникающие у современных женщин, ведущих активный образ жизни. В группу риска попадают, в основном, бизнеследи; женщины, много работающие и одновременно воспитывающие детей; женщины, занимающ</w:t>
      </w:r>
      <w:r>
        <w:rPr>
          <w:color w:val="000000"/>
          <w:sz w:val="24"/>
          <w:szCs w:val="24"/>
        </w:rPr>
        <w:t xml:space="preserve">иеся тяжелым физическим трудом.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Во-вторых, привести к аденомиозу способно злоупотребление солнечными ваннами и соляриями. Ультрафиолетовое облучение, которому подвергают себя ради получения загара, вызывает в организме ряд реакций. Для молодых девушек они</w:t>
      </w:r>
      <w:r>
        <w:rPr>
          <w:color w:val="000000"/>
          <w:sz w:val="24"/>
          <w:szCs w:val="24"/>
        </w:rPr>
        <w:t xml:space="preserve"> не столь опасны, однако после 30 лет происходит повышение восприимчивости к облучению. Поэтому рекомендация врачей нашего медицинского центра (не только, кстати, гинекологов) женщинам старшего возраста - воздержаться от посещения различных курортов в жарк</w:t>
      </w:r>
      <w:r>
        <w:rPr>
          <w:color w:val="000000"/>
          <w:sz w:val="24"/>
          <w:szCs w:val="24"/>
        </w:rPr>
        <w:t>ое время года ради заботы о своем здоровье. Вы уже не маленькие девочки, реализовались в жизни, научились ответственно относиться к работе и семье, отвечать за других. Настало время ответственно отнестись к себе: в так называемый "бархатный сезон" солнечны</w:t>
      </w:r>
      <w:r>
        <w:rPr>
          <w:color w:val="000000"/>
          <w:sz w:val="24"/>
          <w:szCs w:val="24"/>
        </w:rPr>
        <w:t xml:space="preserve">й лучи гораздо благотворнее влияют на организм. Кроме того, частая и обычно резкая смена климатических поясов также способна дать толчок к развитию ряда заболеваний, включая аденомиоз.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Скрытую опасность таят в себе и различные грязевые ванны, столь популя</w:t>
      </w:r>
      <w:r>
        <w:rPr>
          <w:color w:val="000000"/>
          <w:sz w:val="24"/>
          <w:szCs w:val="24"/>
        </w:rPr>
        <w:t>рные у современных женщин. При неумеренном или неправильном использовании они обычно приносят организму больше вреда, чем пользы, поэтому перед началом грязевой терапии желательно проконсультироваться с гинекологом, который сможет точно определить - подход</w:t>
      </w:r>
      <w:r>
        <w:rPr>
          <w:color w:val="000000"/>
          <w:sz w:val="24"/>
          <w:szCs w:val="24"/>
        </w:rPr>
        <w:t xml:space="preserve">ит женщине данная процедура или нет.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вышеназванных моментов, стоит обратить внимание на то, что существенно повышают риск заболевания аденомиозом любые маточные хирургические вмешательства или выскабливания. В первую очередь, к ним относятся аборты</w:t>
      </w:r>
      <w:r>
        <w:rPr>
          <w:color w:val="000000"/>
          <w:sz w:val="24"/>
          <w:szCs w:val="24"/>
        </w:rPr>
        <w:t xml:space="preserve">, механические травмы, медицинское вмешательство после выкидыша и т.п. </w:t>
      </w:r>
    </w:p>
    <w:p w:rsidR="00000000" w:rsidRDefault="00BE476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Диагностика аденомиоза.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того чтобы точно установить диагноз "аденомиоз", как правило, вначале используется комплексное обследование, включающее в себя: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осмотр половых органов при </w:t>
      </w:r>
      <w:r>
        <w:rPr>
          <w:color w:val="000000"/>
          <w:sz w:val="24"/>
          <w:szCs w:val="24"/>
        </w:rPr>
        <w:t xml:space="preserve">помощи зеркал;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кольпоскопию (исследование шейки матки посредством специального прибора, дающего увеличение примерно в 30 раз);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взятие мазков;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общее обследование органов дыхания, кровообращения, пищеварения, мочеиспускательной системы.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Последний пункт о</w:t>
      </w:r>
      <w:r>
        <w:rPr>
          <w:color w:val="000000"/>
          <w:sz w:val="24"/>
          <w:szCs w:val="24"/>
        </w:rPr>
        <w:t>собенно важен для того, чтобы правильно подобрать дальнейшее лечение, так как некоторые лекарственные средства подходят далеко не всем (например, сердечная недостаточность является противопоказанием к приему ряда препаратов). Таким образом, помимо непосред</w:t>
      </w:r>
      <w:r>
        <w:rPr>
          <w:color w:val="000000"/>
          <w:sz w:val="24"/>
          <w:szCs w:val="24"/>
        </w:rPr>
        <w:t xml:space="preserve">ственного осмотра у специалиста-гинеколога, при подозрении на аденомиоз рекомендуется консультации и у других специалистов - терапевта, гастроэнтеролога, гематолога и т п.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первичного осмотра, в медицинском центре "Престиж" пациентке обычно проводят </w:t>
      </w:r>
      <w:r>
        <w:rPr>
          <w:color w:val="000000"/>
          <w:sz w:val="24"/>
          <w:szCs w:val="24"/>
        </w:rPr>
        <w:t>УЗИ органов малого таза, являющееся одним из самых популярных и безболезненных методов диагностики гинекологических заболеваний. При соответствующих показаниях, могут использоваться такие методы, как гистероскопия и лапароскопия. Также наши специалисты рек</w:t>
      </w:r>
      <w:r>
        <w:rPr>
          <w:color w:val="000000"/>
          <w:sz w:val="24"/>
          <w:szCs w:val="24"/>
        </w:rPr>
        <w:t xml:space="preserve">омендуют сделать анализ микрофлоры влагалища, чтобы исключить процесс размножения нежелательных бактерий.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Существует также специальная предоперационная подготовка больных аденомиозом, используемая в той ситуации, когда пациентке назначается хирургическое </w:t>
      </w:r>
      <w:r>
        <w:rPr>
          <w:color w:val="000000"/>
          <w:sz w:val="24"/>
          <w:szCs w:val="24"/>
        </w:rPr>
        <w:t xml:space="preserve">лечение. Сюда входят: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ряд анализов крови (биохимический и др.);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обязательное определение группы крови и резус-фактора;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общий анализ мочи;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повторное исследование мазков, взятых из влагалища;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рентген органов грудной клетки.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процедуры не являются</w:t>
      </w:r>
      <w:r>
        <w:rPr>
          <w:color w:val="000000"/>
          <w:sz w:val="24"/>
          <w:szCs w:val="24"/>
        </w:rPr>
        <w:t xml:space="preserve"> строго обязательными, однако для максимально полной диагностики, для избежания негативных последствий и различных осложнений в результате лечения, их рекомендуется провести. </w:t>
      </w:r>
    </w:p>
    <w:p w:rsidR="00000000" w:rsidRDefault="00BE476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аденомиоза.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 в лечении эндометриоза, частным случаем которого адено</w:t>
      </w:r>
      <w:r>
        <w:rPr>
          <w:color w:val="000000"/>
          <w:sz w:val="24"/>
          <w:szCs w:val="24"/>
        </w:rPr>
        <w:t>миоз является, существует два пути устранения заболевания - терапия или хирургическое вмешательство. Первый способ заключается в применении различных лекарственных средств, основная цель его - нормализация деятельности иммунной и гормональной систем органи</w:t>
      </w:r>
      <w:r>
        <w:rPr>
          <w:color w:val="000000"/>
          <w:sz w:val="24"/>
          <w:szCs w:val="24"/>
        </w:rPr>
        <w:t>зма. В медицинском центре "Престиж", чтобы сохранить здоровье женщины, используют комплексное лечение современными препаратами, коструктивная особенность которых - целевое действие и практически полное отсутствии епобочных эффектов. Лекарственные препараты</w:t>
      </w:r>
      <w:r>
        <w:rPr>
          <w:color w:val="000000"/>
          <w:sz w:val="24"/>
          <w:szCs w:val="24"/>
        </w:rPr>
        <w:t xml:space="preserve"> подбираются исходя из индивидуальных особенностей женского организма. Как правило, это различные средства, содержащие гормональные вещества (гестагены), главное достоинство которых в том, что после их применения существенно повышается вероятность наступле</w:t>
      </w:r>
      <w:r>
        <w:rPr>
          <w:color w:val="000000"/>
          <w:sz w:val="24"/>
          <w:szCs w:val="24"/>
        </w:rPr>
        <w:t xml:space="preserve">ния беременности. Длительность терапии определяется врачом, исходя из результатов обследования, но обычно не бывает меньше 2 - 3 месяцев.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Восстановление нормального менструального цикла после лечения, как показывает практика, происходит примерно через 4 -</w:t>
      </w:r>
      <w:r>
        <w:rPr>
          <w:color w:val="000000"/>
          <w:sz w:val="24"/>
          <w:szCs w:val="24"/>
        </w:rPr>
        <w:t xml:space="preserve"> 6 недель. Кроме того, современные гормональные средства при надлежащем применении совершенно безопасны для всего организма и, в отличие от своих предшественников 60 - 70-х годов, не вызывают побочных эффектов.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 хирургического лечения аденомиоза - в</w:t>
      </w:r>
      <w:r>
        <w:rPr>
          <w:color w:val="000000"/>
          <w:sz w:val="24"/>
          <w:szCs w:val="24"/>
        </w:rPr>
        <w:t>осстановление нормального анатомического строения внутренних половых органов и удаление максимально возможного числа очагов локализации заболевания. Эффективность хирургических вмешательств во многом зависит от тяжести аденомиоза (степени его развития). Че</w:t>
      </w:r>
      <w:r>
        <w:rPr>
          <w:color w:val="000000"/>
          <w:sz w:val="24"/>
          <w:szCs w:val="24"/>
        </w:rPr>
        <w:t xml:space="preserve">м больше участков </w:t>
      </w:r>
      <w:r>
        <w:rPr>
          <w:color w:val="000000"/>
          <w:sz w:val="24"/>
          <w:szCs w:val="24"/>
        </w:rPr>
        <w:lastRenderedPageBreak/>
        <w:t>поражено, тем сложнее операция, и тем меньше шансов на последующее наступление беременности. Так, у женщин с умеренной степенью аденомиоза вероятность зачатия после хирургического лечения составляет около 60%, а при обширном поражении - 3</w:t>
      </w:r>
      <w:r>
        <w:rPr>
          <w:color w:val="000000"/>
          <w:sz w:val="24"/>
          <w:szCs w:val="24"/>
        </w:rPr>
        <w:t xml:space="preserve">5 %. С большим прискорбием следует отметить, что если в течение двух лет беременность не наступает, то ее вероятность в дальнейшем крайне мала.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Восстановительный период после хирургического вмешательства чаще всего длится несколько дней. В это время пацие</w:t>
      </w:r>
      <w:r>
        <w:rPr>
          <w:color w:val="000000"/>
          <w:sz w:val="24"/>
          <w:szCs w:val="24"/>
        </w:rPr>
        <w:t>нтке рекомендуется находиться в стационаре под наблюдением врача. Следующие два месяца специалисты советуют консультироваться примерно раз в 7 - 10 дней для того, чтобы вовремя предупредить возможные осложнения. Затем консультации проводятся по стандартном</w:t>
      </w:r>
      <w:r>
        <w:rPr>
          <w:color w:val="000000"/>
          <w:sz w:val="24"/>
          <w:szCs w:val="24"/>
        </w:rPr>
        <w:t xml:space="preserve">у графику - один раз в полгода.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Постепенно появляются и новые методы лечения аденомиоза. На современном этапе, кроме двух вышеназванных классических способов, для лечения аденомиоза используют электрокоагуляцию - специальный метод удаления новообразований</w:t>
      </w:r>
      <w:r>
        <w:rPr>
          <w:color w:val="000000"/>
          <w:sz w:val="24"/>
          <w:szCs w:val="24"/>
        </w:rPr>
        <w:t xml:space="preserve">. Часто она применяется вместе с анестезией, что делает ее совершенно безболезненной.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Принято считать, что женщина вылечилась от аденомиоза в том случае, если у нее не возникают тазовые боли и другие сопутствующие симптомы, а также если в течение пяти лет</w:t>
      </w:r>
      <w:r>
        <w:rPr>
          <w:color w:val="000000"/>
          <w:sz w:val="24"/>
          <w:szCs w:val="24"/>
        </w:rPr>
        <w:t xml:space="preserve"> не происходит рецидивов заболевания. </w:t>
      </w:r>
    </w:p>
    <w:p w:rsidR="00000000" w:rsidRDefault="00BE476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 аденомиоза.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девочки и женщины ошибочно считают, что поводом для визита к врачу-гинекологу может стать только беременность или некие болезненные симптомы. Такое мнение впоследствии может крайне нега</w:t>
      </w:r>
      <w:r>
        <w:rPr>
          <w:color w:val="000000"/>
          <w:sz w:val="24"/>
          <w:szCs w:val="24"/>
        </w:rPr>
        <w:t>тивно отразиться на здоровье, ведь, как известно, чем раньше обнаружено заболевание, тем легче его вылечить. Поэтому специалисты нашего медицинского центра "Престиж" рекомендуют регулярно (примерно раз в полгода) проходить первичный осмотр у гинеколога, чт</w:t>
      </w:r>
      <w:r>
        <w:rPr>
          <w:color w:val="000000"/>
          <w:sz w:val="24"/>
          <w:szCs w:val="24"/>
        </w:rPr>
        <w:t xml:space="preserve">о само по себе является профилактикой многих болезней, в числе которых и аденомиоз.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этого, женщинам, замечающим у себя несильные тазовые боли, рекомендуется некоторое время отдохнуть, побыть в спокойной обстановке, чтобы снять стресс. Возможно такж</w:t>
      </w:r>
      <w:r>
        <w:rPr>
          <w:color w:val="000000"/>
          <w:sz w:val="24"/>
          <w:szCs w:val="24"/>
        </w:rPr>
        <w:t xml:space="preserve">е проведение специальных процедур, направленных на расслабление и успокоение. Проконсультировавшись с врачом, можно попробовать прием ряда лекарственных препаратов соответствующего действия, физиотерапию, релаксационный массаж. </w:t>
      </w:r>
    </w:p>
    <w:p w:rsidR="00000000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профилактической меро</w:t>
      </w:r>
      <w:r>
        <w:rPr>
          <w:color w:val="000000"/>
          <w:sz w:val="24"/>
          <w:szCs w:val="24"/>
        </w:rPr>
        <w:t xml:space="preserve">й заболевания аденомиозом служит, как уже говорилось ранее, не злоупотребление солнечными ваннами и сопутствующими им облучением. </w:t>
      </w:r>
    </w:p>
    <w:p w:rsidR="00000000" w:rsidRDefault="00BE476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E476A" w:rsidRDefault="00BE47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http://www.policlinica.ru/</w:t>
        </w:r>
      </w:hyperlink>
    </w:p>
    <w:sectPr w:rsidR="00BE476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1A1"/>
    <w:multiLevelType w:val="hybridMultilevel"/>
    <w:tmpl w:val="E1725538"/>
    <w:lvl w:ilvl="0" w:tplc="CC28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8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0D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8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D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A1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3BA5"/>
    <w:multiLevelType w:val="hybridMultilevel"/>
    <w:tmpl w:val="C08EC2DC"/>
    <w:lvl w:ilvl="0" w:tplc="0C84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4CA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D2C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BC3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5EC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EE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548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E15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901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CC3693"/>
    <w:multiLevelType w:val="hybridMultilevel"/>
    <w:tmpl w:val="DF8C9FFE"/>
    <w:lvl w:ilvl="0" w:tplc="70F62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7E4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42D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C4E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6B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286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4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D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DAB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287479"/>
    <w:multiLevelType w:val="hybridMultilevel"/>
    <w:tmpl w:val="3530CC2E"/>
    <w:lvl w:ilvl="0" w:tplc="753CE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1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B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2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4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45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0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F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8E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B7899"/>
    <w:multiLevelType w:val="hybridMultilevel"/>
    <w:tmpl w:val="B492EB98"/>
    <w:lvl w:ilvl="0" w:tplc="EBA84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23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5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26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A0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6C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74E34"/>
    <w:multiLevelType w:val="hybridMultilevel"/>
    <w:tmpl w:val="A8264108"/>
    <w:lvl w:ilvl="0" w:tplc="3CC4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620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8F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143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DE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4C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7A7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2A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6C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6FF6AA4"/>
    <w:multiLevelType w:val="hybridMultilevel"/>
    <w:tmpl w:val="A1C6B4B8"/>
    <w:lvl w:ilvl="0" w:tplc="7CCC1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8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DA3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B035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C2B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5765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C0C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7A6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36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2230BF"/>
    <w:multiLevelType w:val="hybridMultilevel"/>
    <w:tmpl w:val="890CF288"/>
    <w:lvl w:ilvl="0" w:tplc="0D4C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06A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F86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406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41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48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8E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46C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440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09251A"/>
    <w:multiLevelType w:val="hybridMultilevel"/>
    <w:tmpl w:val="03E2410E"/>
    <w:lvl w:ilvl="0" w:tplc="0D40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20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FC9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020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144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DC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BC0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B4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326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75433C"/>
    <w:multiLevelType w:val="hybridMultilevel"/>
    <w:tmpl w:val="2FE84722"/>
    <w:lvl w:ilvl="0" w:tplc="5E18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21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EE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A6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6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E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6F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D4527"/>
    <w:multiLevelType w:val="hybridMultilevel"/>
    <w:tmpl w:val="5346FACA"/>
    <w:lvl w:ilvl="0" w:tplc="BCF23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8A0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14E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402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709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80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683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348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1A6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B00EBD"/>
    <w:multiLevelType w:val="hybridMultilevel"/>
    <w:tmpl w:val="1F347A06"/>
    <w:lvl w:ilvl="0" w:tplc="9BBE3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D2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83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21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A6F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205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AAA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5EF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CEB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D61080"/>
    <w:multiLevelType w:val="hybridMultilevel"/>
    <w:tmpl w:val="7E366A08"/>
    <w:lvl w:ilvl="0" w:tplc="50D20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C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787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EE6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D25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2A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B80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F84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B85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3403EF"/>
    <w:multiLevelType w:val="hybridMultilevel"/>
    <w:tmpl w:val="32CC02A6"/>
    <w:lvl w:ilvl="0" w:tplc="E5CE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ECF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9E69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049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52D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740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0EA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52E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FED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EA2940"/>
    <w:multiLevelType w:val="hybridMultilevel"/>
    <w:tmpl w:val="5A40CCDA"/>
    <w:lvl w:ilvl="0" w:tplc="6584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32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6AE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924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0AE1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B28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A2B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6D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946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600AFB"/>
    <w:multiLevelType w:val="hybridMultilevel"/>
    <w:tmpl w:val="E4B2FDC8"/>
    <w:lvl w:ilvl="0" w:tplc="7386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21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EA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C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C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B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A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370FA"/>
    <w:multiLevelType w:val="hybridMultilevel"/>
    <w:tmpl w:val="0E2C136C"/>
    <w:lvl w:ilvl="0" w:tplc="86D4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067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64D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9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42C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144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AA8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D06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27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EB1C20"/>
    <w:multiLevelType w:val="hybridMultilevel"/>
    <w:tmpl w:val="7C5EC698"/>
    <w:lvl w:ilvl="0" w:tplc="4AD0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225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DEC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BA5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5E9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B2A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CF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FA02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8C7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A71817"/>
    <w:multiLevelType w:val="hybridMultilevel"/>
    <w:tmpl w:val="E36C4D76"/>
    <w:lvl w:ilvl="0" w:tplc="F7368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DAD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A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25A1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EE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9A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BAA8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7A8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621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EC47B1C"/>
    <w:multiLevelType w:val="hybridMultilevel"/>
    <w:tmpl w:val="4DF6457C"/>
    <w:lvl w:ilvl="0" w:tplc="2F72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3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08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0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83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77"/>
    <w:rsid w:val="00161577"/>
    <w:rsid w:val="00B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linic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1831</Words>
  <Characters>10437</Characters>
  <Application>Microsoft Office Word</Application>
  <DocSecurity>0</DocSecurity>
  <Lines>86</Lines>
  <Paragraphs>24</Paragraphs>
  <ScaleCrop>false</ScaleCrop>
  <Company>PERSONAL COMPUTERS</Company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Аденомиоз</dc:title>
  <dc:creator>USER</dc:creator>
  <cp:lastModifiedBy>Igor</cp:lastModifiedBy>
  <cp:revision>3</cp:revision>
  <dcterms:created xsi:type="dcterms:W3CDTF">2024-07-23T08:25:00Z</dcterms:created>
  <dcterms:modified xsi:type="dcterms:W3CDTF">2024-07-23T08:25:00Z</dcterms:modified>
</cp:coreProperties>
</file>