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E0" w:rsidRPr="005521D5" w:rsidRDefault="00B42DE0">
      <w:pPr>
        <w:pStyle w:val="20"/>
        <w:rPr>
          <w:kern w:val="0"/>
          <w:lang w:val="ru-RU"/>
        </w:rPr>
      </w:pPr>
      <w:bookmarkStart w:id="0" w:name="_GoBack"/>
      <w:bookmarkEnd w:id="0"/>
      <w:r w:rsidRPr="005521D5">
        <w:rPr>
          <w:kern w:val="0"/>
          <w:lang w:val="ru-RU"/>
        </w:rPr>
        <w:t>ПАСПОРТНАЯ ЧАСТЬ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Ф. И.О.: </w:t>
      </w:r>
      <w:r w:rsidR="005521D5">
        <w:t>…</w:t>
      </w:r>
      <w:r>
        <w:t xml:space="preserve">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Возраст: </w:t>
      </w:r>
      <w:r w:rsidR="00486450">
        <w:t>________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>Пол: мужской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>Семейное положение: женат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Национальность: русский.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Образование: среднее специальное. </w:t>
      </w:r>
    </w:p>
    <w:p w:rsidR="00B42DE0" w:rsidRPr="00486450" w:rsidRDefault="00CF2862">
      <w:pPr>
        <w:widowControl w:val="0"/>
        <w:autoSpaceDE w:val="0"/>
        <w:autoSpaceDN w:val="0"/>
        <w:adjustRightInd w:val="0"/>
        <w:ind w:firstLine="709"/>
      </w:pPr>
      <w:r>
        <w:t>Место постоянного жительства: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Место работы: не работает.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Дата поступления в клинику: </w:t>
      </w:r>
      <w:r w:rsidR="00486450">
        <w:t>__________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Диагноз: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Основной: Анкилозирующий спондилоартрит (болезнь Бехтерева), периферическая форма, двухсторонний сакроилеит </w:t>
      </w:r>
      <w:r>
        <w:rPr>
          <w:lang w:val="en-US"/>
        </w:rPr>
        <w:t>IV</w:t>
      </w:r>
      <w:r>
        <w:t xml:space="preserve"> ст. по Дейлу, прогрессирующие течение, активность </w:t>
      </w:r>
      <w:r>
        <w:rPr>
          <w:lang w:val="en-US"/>
        </w:rPr>
        <w:t>II</w:t>
      </w:r>
      <w:r>
        <w:t>. НФС 2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Осложнения: нет.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Сопутствующие: Артериальная гипертония </w:t>
      </w:r>
      <w:r>
        <w:rPr>
          <w:lang w:val="en-US"/>
        </w:rPr>
        <w:t>II</w:t>
      </w:r>
      <w:r>
        <w:t xml:space="preserve"> </w:t>
      </w:r>
      <w:r w:rsidR="00CF2862">
        <w:t>ст.</w:t>
      </w:r>
      <w:r>
        <w:t>,2 степени, риск 3, НК 1</w:t>
      </w:r>
    </w:p>
    <w:p w:rsidR="00B42DE0" w:rsidRDefault="00B42DE0">
      <w:pPr>
        <w:pStyle w:val="20"/>
        <w:rPr>
          <w:noProof w:val="0"/>
          <w:lang w:val="ru-RU"/>
        </w:rPr>
      </w:pPr>
    </w:p>
    <w:p w:rsidR="00B42DE0" w:rsidRPr="005521D5" w:rsidRDefault="00B42DE0">
      <w:pPr>
        <w:pStyle w:val="20"/>
        <w:rPr>
          <w:kern w:val="0"/>
          <w:lang w:val="ru-RU"/>
        </w:rPr>
      </w:pPr>
      <w:r w:rsidRPr="005521D5">
        <w:rPr>
          <w:lang w:val="ru-RU"/>
        </w:rPr>
        <w:t>ОБОСНОВАНИЕ ДИАГНОЗА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На основании данных, полученных при анализе жалоб пациента (боли и ограничение объёма движений в шейном, грудном и пояснично-кресцовом отделе позвоночника, длящиеся более 3-х месяцев), анамнеза болезни (Пациент считает себя больным с 1986 года, когда впервые возникли боли воспалительного характера в коленных суставах. При обследовании БСЧ ТОАО поставлен диагноз: Постэнтероколитеческий реактивный артрит (синдром Рейтера), активность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. Дисбактериоз кишечника. Проводилось стационарное лечение с положительным эффектом. В 2001 году при очередном прохождении проф. осмотра было выявлено повышение СОЭ 42 </w:t>
      </w:r>
      <w:r>
        <w:lastRenderedPageBreak/>
        <w:t xml:space="preserve">мм/ч, был направлен на лечение в ТОРЦ. При обследовании был поставлен диагноз АСА, принимал сульфасалазин 1 мг. в сутки. В дальнейшем за мед. помощью не обращался принимал самостоятельно НПВП, с положительным результатом. В 2005 году появились боли в позвоночнике, ограничение подвижности в шейном отделе позвоночника. Обратился к ревматологу по месту жительства, где ему было проведено лечение сульфасалазин 2 мг. в сутки, НПВП. В 2006 году госпитализация в стационар, рекомендовано усиление базисной терапии – сульфасалазин 2 мг. в сутки + метотрексат 10 мг/нед. На введение метотриксата стал отмечать появление тошноты и препарат был отменён. В связи с высокой активностью заболевания, неэффективностью применяемой базисной терапии решение КЭК взят на программное введение ремикейдом.30.11.07. была проведена первая инфузия 300 мг. Настоящая госпитализация плановая для проведения контрольного обследования и дальнейшего лечения.25.01.08 – третья инфузия ремикейда.; объективного состояния (ограничение отведения в левом тазобедренном суставе = 60 градусов, сглаженность всех физиологических изгибов позвоночника, дефигурация суставов “поза просителя”, функциональные пробы: экскурсия грудной клетки =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Томайера =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Шобера =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, подбородок – грудина и Форестье = 0см); инструментальных и лабораторных методов исследования ((рентген заключение: двухсторонний сакроилеит </w:t>
      </w:r>
      <w:r>
        <w:rPr>
          <w:lang w:val="en-US"/>
        </w:rPr>
        <w:t>IV</w:t>
      </w:r>
      <w:r>
        <w:t xml:space="preserve"> ст по Дейлу, коксартроз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II</w:t>
      </w:r>
      <w:r>
        <w:t xml:space="preserve">, гонартроз </w:t>
      </w:r>
      <w:r>
        <w:rPr>
          <w:lang w:val="en-US"/>
        </w:rPr>
        <w:t>IV</w:t>
      </w:r>
      <w:r>
        <w:t xml:space="preserve">, симптом “квадратизации позвонков”, позвоночник по типу “бамбуковой палки”, рентген – изменения соответствуют АСА), из анализов – СОЭ = 45 мм/ч, СРБ = ++).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Дифференциальный диагноз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191"/>
        <w:gridCol w:w="2937"/>
      </w:tblGrid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>Критерии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Ревматоидный артрит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Болезнь Бехтерева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 xml:space="preserve"> Поражение суставов </w:t>
            </w:r>
          </w:p>
        </w:tc>
        <w:tc>
          <w:tcPr>
            <w:tcW w:w="1732" w:type="pct"/>
          </w:tcPr>
          <w:p w:rsidR="00B42DE0" w:rsidRPr="005521D5" w:rsidRDefault="00B42DE0">
            <w:pPr>
              <w:pStyle w:val="af1"/>
            </w:pPr>
            <w:r w:rsidRPr="005521D5">
              <w:t>Симметричный полиартрит с поражением мелких и крупных суставов верхних и нижних конечностей</w:t>
            </w:r>
          </w:p>
        </w:tc>
        <w:tc>
          <w:tcPr>
            <w:tcW w:w="1595" w:type="pct"/>
          </w:tcPr>
          <w:p w:rsidR="00B42DE0" w:rsidRPr="005521D5" w:rsidRDefault="00B42DE0">
            <w:pPr>
              <w:pStyle w:val="af1"/>
            </w:pPr>
            <w:r w:rsidRPr="005521D5">
              <w:t>Асимметричный олигоартрит с преимущественным поражением крупных суставов нижних конечностей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>Сакроилеит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Нет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Есть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lastRenderedPageBreak/>
              <w:t xml:space="preserve">Поражение позвоночника 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Шейный отдел</w:t>
            </w:r>
          </w:p>
        </w:tc>
        <w:tc>
          <w:tcPr>
            <w:tcW w:w="1595" w:type="pct"/>
          </w:tcPr>
          <w:p w:rsidR="00B42DE0" w:rsidRPr="005521D5" w:rsidRDefault="00B42DE0">
            <w:pPr>
              <w:pStyle w:val="af1"/>
            </w:pPr>
            <w:r w:rsidRPr="005521D5">
              <w:t>Восходящий характер с поражением всего позвоночника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 xml:space="preserve">Ревматоидные узелки 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Есть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Нет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 xml:space="preserve">Поражение глаз 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Эписклерит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Увеит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>Аортальная регургитация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Нет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Может быть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 xml:space="preserve">Поражение лёгких 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Адгезивный плеврит, фиброзирующий альвеолит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Пульмональный фиброз верхней доли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 xml:space="preserve">Ревматоидный фактор 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Есть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Нет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>HLA-B27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Нет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Есть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 xml:space="preserve">HLA-DR4 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Есть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Нет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>Морфологические признаки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Воспалительный синовит</w:t>
            </w:r>
          </w:p>
        </w:tc>
        <w:tc>
          <w:tcPr>
            <w:tcW w:w="1595" w:type="pct"/>
          </w:tcPr>
          <w:p w:rsidR="00B42DE0" w:rsidRDefault="00B42DE0">
            <w:pPr>
              <w:pStyle w:val="af1"/>
            </w:pPr>
            <w:r>
              <w:t>Энтезопатии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74" w:type="pct"/>
          </w:tcPr>
          <w:p w:rsidR="00B42DE0" w:rsidRDefault="00B42DE0">
            <w:pPr>
              <w:pStyle w:val="af1"/>
            </w:pPr>
            <w:r>
              <w:t>Рентгенологические данные</w:t>
            </w:r>
          </w:p>
        </w:tc>
        <w:tc>
          <w:tcPr>
            <w:tcW w:w="1732" w:type="pct"/>
          </w:tcPr>
          <w:p w:rsidR="00B42DE0" w:rsidRDefault="00B42DE0">
            <w:pPr>
              <w:pStyle w:val="af1"/>
            </w:pPr>
            <w:r>
              <w:t>Симметричный эрозивный артрит</w:t>
            </w:r>
          </w:p>
        </w:tc>
        <w:tc>
          <w:tcPr>
            <w:tcW w:w="1595" w:type="pct"/>
          </w:tcPr>
          <w:p w:rsidR="00B42DE0" w:rsidRPr="005521D5" w:rsidRDefault="00B42DE0">
            <w:pPr>
              <w:pStyle w:val="af1"/>
            </w:pPr>
            <w:r w:rsidRPr="005521D5">
              <w:t>Асимметричный не эрозивный артрит с тенденцией к анкилозированию, синдесмофиты</w:t>
            </w:r>
          </w:p>
        </w:tc>
      </w:tr>
    </w:tbl>
    <w:p w:rsidR="00B42DE0" w:rsidRDefault="00B42DE0">
      <w:pPr>
        <w:widowControl w:val="0"/>
        <w:autoSpaceDE w:val="0"/>
        <w:autoSpaceDN w:val="0"/>
        <w:adjustRightInd w:val="0"/>
        <w:ind w:firstLine="709"/>
      </w:pP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2. Туберкулёз.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Туберкулёз позвоночника обычно поражает один или несколько позвонков, не носит характер тотального спондилоартрита. При этом не бывает оссификации связок, энтезопатий, а преобладает деструктивный характер с ограниченной локализацией. При дополнительном обследовании выявляюся положительные пробы на туберкулёз (РСК с туберкулином, реакция Манту и др.).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>3. Особенности болевого синдрома в спине при механическом</w:t>
      </w:r>
      <w:r w:rsidR="005521D5">
        <w:t xml:space="preserve"> </w:t>
      </w:r>
      <w:r>
        <w:t xml:space="preserve">(пояснично-крестцовый радикулит) и воспалительном (АС) их происхождении.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3191"/>
        <w:gridCol w:w="2939"/>
      </w:tblGrid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 xml:space="preserve">Критерии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Механические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Воспалительные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 xml:space="preserve">Длительный анамнез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+/-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+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>Наследственность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-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+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 xml:space="preserve">Начало болевого синдрома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Острое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Постепенное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 xml:space="preserve">Возраст больных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Любой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15-40 лет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 xml:space="preserve">Ночные боли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+/-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+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 xml:space="preserve">Утренняя скованность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-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+++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Pr="005521D5" w:rsidRDefault="00B42DE0">
            <w:pPr>
              <w:pStyle w:val="af1"/>
            </w:pPr>
            <w:r w:rsidRPr="005521D5">
              <w:t xml:space="preserve">Вовлечение других органов и </w:t>
            </w:r>
            <w:r w:rsidRPr="005521D5">
              <w:lastRenderedPageBreak/>
              <w:t xml:space="preserve">систем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lastRenderedPageBreak/>
              <w:t>-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+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lastRenderedPageBreak/>
              <w:t xml:space="preserve">Влияние движения на боль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Хуже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Лучше</w:t>
            </w:r>
          </w:p>
        </w:tc>
      </w:tr>
      <w:tr w:rsidR="00B42DE0" w:rsidTr="005521D5">
        <w:tblPrEx>
          <w:tblCellMar>
            <w:top w:w="0" w:type="dxa"/>
            <w:bottom w:w="0" w:type="dxa"/>
          </w:tblCellMar>
        </w:tblPrEx>
        <w:tc>
          <w:tcPr>
            <w:tcW w:w="1621" w:type="pct"/>
          </w:tcPr>
          <w:p w:rsidR="00B42DE0" w:rsidRDefault="00B42DE0">
            <w:pPr>
              <w:pStyle w:val="af1"/>
            </w:pPr>
            <w:r>
              <w:t xml:space="preserve">Влияние отдыха на боль </w:t>
            </w:r>
          </w:p>
        </w:tc>
        <w:tc>
          <w:tcPr>
            <w:tcW w:w="1759" w:type="pct"/>
          </w:tcPr>
          <w:p w:rsidR="00B42DE0" w:rsidRDefault="00B42DE0">
            <w:pPr>
              <w:pStyle w:val="af1"/>
            </w:pPr>
            <w:r>
              <w:t>Лучше</w:t>
            </w:r>
          </w:p>
        </w:tc>
        <w:tc>
          <w:tcPr>
            <w:tcW w:w="1620" w:type="pct"/>
          </w:tcPr>
          <w:p w:rsidR="00B42DE0" w:rsidRDefault="00B42DE0">
            <w:pPr>
              <w:pStyle w:val="af1"/>
            </w:pPr>
            <w:r>
              <w:t>Хуже</w:t>
            </w:r>
          </w:p>
        </w:tc>
      </w:tr>
    </w:tbl>
    <w:p w:rsidR="005521D5" w:rsidRDefault="005521D5">
      <w:pPr>
        <w:widowControl w:val="0"/>
        <w:autoSpaceDE w:val="0"/>
        <w:autoSpaceDN w:val="0"/>
        <w:adjustRightInd w:val="0"/>
        <w:ind w:firstLine="709"/>
      </w:pPr>
    </w:p>
    <w:p w:rsidR="00B42DE0" w:rsidRDefault="00B42DE0" w:rsidP="005521D5">
      <w:pPr>
        <w:pStyle w:val="1"/>
      </w:pPr>
      <w:r>
        <w:t>Лечение</w:t>
      </w:r>
    </w:p>
    <w:p w:rsidR="005521D5" w:rsidRDefault="005521D5">
      <w:pPr>
        <w:widowControl w:val="0"/>
        <w:autoSpaceDE w:val="0"/>
        <w:autoSpaceDN w:val="0"/>
        <w:adjustRightInd w:val="0"/>
        <w:ind w:firstLine="709"/>
      </w:pPr>
    </w:p>
    <w:p w:rsidR="00B42DE0" w:rsidRDefault="005521D5">
      <w:pPr>
        <w:widowControl w:val="0"/>
        <w:autoSpaceDE w:val="0"/>
        <w:autoSpaceDN w:val="0"/>
        <w:adjustRightInd w:val="0"/>
        <w:ind w:firstLine="709"/>
      </w:pPr>
      <w:r>
        <w:t>С</w:t>
      </w:r>
      <w:r w:rsidR="00B42DE0">
        <w:t>тол №15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>режим общий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дексаметазон 8 мг. в/м №1 перед введением ремикейда.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ремикейд 300 мг в/в кап. №1.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кальций Д3 никомед по1 таб.2 раза в день, во время еды.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эналаприл 2,5 мг.2 раза в день.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феназепам 0,001 по 1 таб. на ноч.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>Рекомендовано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наблюдение у ревматолога по месту жительства.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ограничить физические нагрузки, избегать инсоляций и переохлаждений.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выполнять комплекс ЛФК.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диета с ограничением соли и жидкости, богатая кальцием. </w:t>
      </w:r>
    </w:p>
    <w:p w:rsidR="00B42DE0" w:rsidRDefault="00B42DE0">
      <w:pPr>
        <w:widowControl w:val="0"/>
        <w:autoSpaceDE w:val="0"/>
        <w:autoSpaceDN w:val="0"/>
        <w:adjustRightInd w:val="0"/>
        <w:ind w:firstLine="709"/>
      </w:pPr>
      <w:r>
        <w:t xml:space="preserve">явка к ревматологу в ОКБ через 2 месяца (четвёртая инфузия ремикейда 21.03.08), при необходимости раньше. </w:t>
      </w:r>
    </w:p>
    <w:sectPr w:rsidR="00B42D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3C" w:rsidRDefault="004A423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A423C" w:rsidRDefault="004A423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E0" w:rsidRDefault="00B42D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E0" w:rsidRDefault="00B42D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3C" w:rsidRDefault="004A423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A423C" w:rsidRDefault="004A423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E0" w:rsidRDefault="00B42DE0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C8010A">
      <w:rPr>
        <w:rStyle w:val="af3"/>
      </w:rPr>
      <w:t>2</w:t>
    </w:r>
    <w:r>
      <w:rPr>
        <w:rStyle w:val="af3"/>
      </w:rPr>
      <w:fldChar w:fldCharType="end"/>
    </w:r>
  </w:p>
  <w:p w:rsidR="00B42DE0" w:rsidRDefault="00B42DE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E0" w:rsidRDefault="00B42D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336"/>
    <w:multiLevelType w:val="singleLevel"/>
    <w:tmpl w:val="882EAFF8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D07230"/>
    <w:multiLevelType w:val="multilevel"/>
    <w:tmpl w:val="3FE6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B47C5"/>
    <w:multiLevelType w:val="multilevel"/>
    <w:tmpl w:val="413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2297D"/>
    <w:multiLevelType w:val="singleLevel"/>
    <w:tmpl w:val="6804EC5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11594"/>
    <w:multiLevelType w:val="multilevel"/>
    <w:tmpl w:val="F87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D5"/>
    <w:rsid w:val="00134429"/>
    <w:rsid w:val="003B04DC"/>
    <w:rsid w:val="00486450"/>
    <w:rsid w:val="004A423C"/>
    <w:rsid w:val="004D0D13"/>
    <w:rsid w:val="004E37E5"/>
    <w:rsid w:val="005521D5"/>
    <w:rsid w:val="00B42DE0"/>
    <w:rsid w:val="00C8010A"/>
    <w:rsid w:val="00CF2862"/>
    <w:rsid w:val="00E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521D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5521D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5521D5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0">
    <w:name w:val="заголовок 1"/>
    <w:next w:val="a2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0">
    <w:name w:val="заголовок 2"/>
    <w:next w:val="a2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0">
    <w:name w:val="заголовок 3"/>
    <w:basedOn w:val="a2"/>
    <w:next w:val="a2"/>
    <w:pPr>
      <w:keepNext/>
      <w:widowControl w:val="0"/>
      <w:autoSpaceDE w:val="0"/>
      <w:autoSpaceDN w:val="0"/>
      <w:adjustRightInd w:val="0"/>
      <w:ind w:firstLine="709"/>
    </w:pPr>
    <w:rPr>
      <w:b/>
      <w:bCs/>
      <w:noProof/>
      <w:lang w:val="en-US"/>
    </w:rPr>
  </w:style>
  <w:style w:type="paragraph" w:customStyle="1" w:styleId="40">
    <w:name w:val="заголовок 4"/>
    <w:next w:val="a2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0">
    <w:name w:val="заголовок 5"/>
    <w:basedOn w:val="a2"/>
    <w:next w:val="a2"/>
    <w:pPr>
      <w:keepNext/>
      <w:widowControl w:val="0"/>
      <w:autoSpaceDE w:val="0"/>
      <w:autoSpaceDN w:val="0"/>
      <w:adjustRightInd w:val="0"/>
      <w:ind w:left="1440" w:firstLine="709"/>
    </w:pPr>
    <w:rPr>
      <w:b/>
      <w:bCs/>
    </w:rPr>
  </w:style>
  <w:style w:type="paragraph" w:customStyle="1" w:styleId="60">
    <w:name w:val="заголовок 6"/>
    <w:basedOn w:val="a2"/>
    <w:next w:val="a2"/>
    <w:pPr>
      <w:keepNext/>
      <w:widowControl w:val="0"/>
      <w:autoSpaceDE w:val="0"/>
      <w:autoSpaceDN w:val="0"/>
      <w:adjustRightInd w:val="0"/>
      <w:ind w:firstLine="709"/>
      <w:jc w:val="center"/>
    </w:pPr>
    <w:rPr>
      <w:b/>
      <w:bCs/>
      <w:sz w:val="30"/>
      <w:szCs w:val="30"/>
    </w:rPr>
  </w:style>
  <w:style w:type="character" w:customStyle="1" w:styleId="a6">
    <w:name w:val="Основной шрифт"/>
  </w:style>
  <w:style w:type="paragraph" w:styleId="HTML">
    <w:name w:val="HTML Preformatted"/>
    <w:basedOn w:val="a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2"/>
    <w:next w:val="a8"/>
    <w:link w:val="11"/>
    <w:rsid w:val="005521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8">
    <w:name w:val="Body Text"/>
    <w:basedOn w:val="a2"/>
    <w:rsid w:val="005521D5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rsid w:val="005521D5"/>
    <w:rPr>
      <w:kern w:val="16"/>
      <w:sz w:val="24"/>
      <w:szCs w:val="24"/>
    </w:rPr>
  </w:style>
  <w:style w:type="paragraph" w:customStyle="1" w:styleId="aa">
    <w:name w:val="выделение"/>
    <w:rsid w:val="005521D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b">
    <w:name w:val="знак сноски"/>
    <w:rPr>
      <w:vertAlign w:val="superscript"/>
    </w:rPr>
  </w:style>
  <w:style w:type="paragraph" w:customStyle="1" w:styleId="ac">
    <w:name w:val="Лит"/>
    <w:p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styleId="ad">
    <w:name w:val="footer"/>
    <w:basedOn w:val="a2"/>
    <w:link w:val="ae"/>
    <w:semiHidden/>
    <w:rsid w:val="005521D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paragraph" w:customStyle="1" w:styleId="12">
    <w:name w:val="оглавление 1"/>
    <w:basedOn w:val="a2"/>
    <w:next w:val="a2"/>
    <w:autoRedefine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caps/>
      <w:noProof/>
      <w:lang w:val="en-US"/>
    </w:rPr>
  </w:style>
  <w:style w:type="paragraph" w:customStyle="1" w:styleId="21">
    <w:name w:val="оглавление 2"/>
    <w:basedOn w:val="a2"/>
    <w:next w:val="a2"/>
    <w:autoRedefine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  <w:noProof/>
      <w:lang w:val="en-US"/>
    </w:rPr>
  </w:style>
  <w:style w:type="paragraph" w:customStyle="1" w:styleId="31">
    <w:name w:val="оглавление 3"/>
    <w:basedOn w:val="a2"/>
    <w:next w:val="a2"/>
    <w:autoRedefine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noProof/>
      <w:lang w:val="en-US"/>
    </w:rPr>
  </w:style>
  <w:style w:type="paragraph" w:customStyle="1" w:styleId="41">
    <w:name w:val="оглавление 4"/>
    <w:basedOn w:val="a2"/>
    <w:next w:val="a2"/>
    <w:autoRedefine/>
    <w:pPr>
      <w:widowControl w:val="0"/>
      <w:autoSpaceDE w:val="0"/>
      <w:autoSpaceDN w:val="0"/>
      <w:adjustRightInd w:val="0"/>
      <w:ind w:firstLine="0"/>
    </w:pPr>
  </w:style>
  <w:style w:type="paragraph" w:customStyle="1" w:styleId="af">
    <w:name w:val="сноска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autoRedefine/>
    <w:rsid w:val="005521D5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5521D5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f0">
    <w:name w:val="схема"/>
    <w:basedOn w:val="a2"/>
    <w:rsid w:val="005521D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1">
    <w:name w:val="ТАБЛИЦА"/>
    <w:next w:val="a2"/>
    <w:autoRedefine/>
    <w:rsid w:val="005521D5"/>
    <w:pPr>
      <w:spacing w:line="360" w:lineRule="auto"/>
    </w:pPr>
    <w:rPr>
      <w:color w:val="000000"/>
    </w:rPr>
  </w:style>
  <w:style w:type="paragraph" w:customStyle="1" w:styleId="af2">
    <w:name w:val="титут"/>
    <w:rsid w:val="005521D5"/>
    <w:pPr>
      <w:spacing w:line="360" w:lineRule="auto"/>
      <w:jc w:val="center"/>
    </w:pPr>
    <w:rPr>
      <w:noProof/>
      <w:sz w:val="28"/>
      <w:szCs w:val="28"/>
    </w:rPr>
  </w:style>
  <w:style w:type="character" w:customStyle="1" w:styleId="af3">
    <w:name w:val="номер страницы"/>
    <w:rsid w:val="005521D5"/>
    <w:rPr>
      <w:sz w:val="28"/>
      <w:szCs w:val="28"/>
    </w:rPr>
  </w:style>
  <w:style w:type="character" w:styleId="af4">
    <w:name w:val="Hyperlink"/>
    <w:rsid w:val="005521D5"/>
    <w:rPr>
      <w:color w:val="0000FF"/>
      <w:u w:val="single"/>
    </w:rPr>
  </w:style>
  <w:style w:type="character" w:customStyle="1" w:styleId="af5">
    <w:name w:val="Текст Знак"/>
    <w:link w:val="af6"/>
    <w:locked/>
    <w:rsid w:val="005521D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af5"/>
    <w:rsid w:val="005521D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link w:val="ad"/>
    <w:semiHidden/>
    <w:locked/>
    <w:rsid w:val="005521D5"/>
    <w:rPr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7"/>
    <w:semiHidden/>
    <w:locked/>
    <w:rsid w:val="005521D5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semiHidden/>
    <w:rsid w:val="005521D5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5521D5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styleId="af8">
    <w:name w:val="page number"/>
    <w:basedOn w:val="a3"/>
    <w:rsid w:val="005521D5"/>
  </w:style>
  <w:style w:type="paragraph" w:styleId="af9">
    <w:name w:val="Normal (Web)"/>
    <w:basedOn w:val="a2"/>
    <w:rsid w:val="005521D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2">
    <w:name w:val="toc 2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2">
    <w:name w:val="toc 3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ind w:firstLine="0"/>
      <w:jc w:val="left"/>
    </w:pPr>
  </w:style>
  <w:style w:type="paragraph" w:styleId="42">
    <w:name w:val="toc 4"/>
    <w:basedOn w:val="a2"/>
    <w:next w:val="a2"/>
    <w:autoRedefine/>
    <w:semiHidden/>
    <w:rsid w:val="005521D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100">
    <w:name w:val="Стиль Оглавление 1 + Первая строка:  0 см"/>
    <w:basedOn w:val="13"/>
    <w:autoRedefine/>
    <w:rsid w:val="005521D5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rsid w:val="005521D5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2"/>
    <w:autoRedefine/>
    <w:rsid w:val="005521D5"/>
    <w:pPr>
      <w:ind w:left="0"/>
    </w:pPr>
  </w:style>
  <w:style w:type="paragraph" w:customStyle="1" w:styleId="31250">
    <w:name w:val="Стиль Оглавление 3 + Слева:  125 см Первая строка:  0 см"/>
    <w:basedOn w:val="32"/>
    <w:autoRedefine/>
    <w:rsid w:val="005521D5"/>
    <w:rPr>
      <w:i/>
      <w:iCs/>
    </w:rPr>
  </w:style>
  <w:style w:type="paragraph" w:styleId="afa">
    <w:name w:val="footnote text"/>
    <w:basedOn w:val="a2"/>
    <w:autoRedefine/>
    <w:semiHidden/>
    <w:rsid w:val="005521D5"/>
    <w:pPr>
      <w:autoSpaceDE w:val="0"/>
      <w:autoSpaceDN w:val="0"/>
      <w:ind w:firstLine="70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521D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5521D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5521D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5521D5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10">
    <w:name w:val="заголовок 1"/>
    <w:next w:val="a2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0">
    <w:name w:val="заголовок 2"/>
    <w:next w:val="a2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0">
    <w:name w:val="заголовок 3"/>
    <w:basedOn w:val="a2"/>
    <w:next w:val="a2"/>
    <w:pPr>
      <w:keepNext/>
      <w:widowControl w:val="0"/>
      <w:autoSpaceDE w:val="0"/>
      <w:autoSpaceDN w:val="0"/>
      <w:adjustRightInd w:val="0"/>
      <w:ind w:firstLine="709"/>
    </w:pPr>
    <w:rPr>
      <w:b/>
      <w:bCs/>
      <w:noProof/>
      <w:lang w:val="en-US"/>
    </w:rPr>
  </w:style>
  <w:style w:type="paragraph" w:customStyle="1" w:styleId="40">
    <w:name w:val="заголовок 4"/>
    <w:next w:val="a2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0">
    <w:name w:val="заголовок 5"/>
    <w:basedOn w:val="a2"/>
    <w:next w:val="a2"/>
    <w:pPr>
      <w:keepNext/>
      <w:widowControl w:val="0"/>
      <w:autoSpaceDE w:val="0"/>
      <w:autoSpaceDN w:val="0"/>
      <w:adjustRightInd w:val="0"/>
      <w:ind w:left="1440" w:firstLine="709"/>
    </w:pPr>
    <w:rPr>
      <w:b/>
      <w:bCs/>
    </w:rPr>
  </w:style>
  <w:style w:type="paragraph" w:customStyle="1" w:styleId="60">
    <w:name w:val="заголовок 6"/>
    <w:basedOn w:val="a2"/>
    <w:next w:val="a2"/>
    <w:pPr>
      <w:keepNext/>
      <w:widowControl w:val="0"/>
      <w:autoSpaceDE w:val="0"/>
      <w:autoSpaceDN w:val="0"/>
      <w:adjustRightInd w:val="0"/>
      <w:ind w:firstLine="709"/>
      <w:jc w:val="center"/>
    </w:pPr>
    <w:rPr>
      <w:b/>
      <w:bCs/>
      <w:sz w:val="30"/>
      <w:szCs w:val="30"/>
    </w:rPr>
  </w:style>
  <w:style w:type="character" w:customStyle="1" w:styleId="a6">
    <w:name w:val="Основной шрифт"/>
  </w:style>
  <w:style w:type="paragraph" w:styleId="HTML">
    <w:name w:val="HTML Preformatted"/>
    <w:basedOn w:val="a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2"/>
    <w:next w:val="a8"/>
    <w:link w:val="11"/>
    <w:rsid w:val="005521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8">
    <w:name w:val="Body Text"/>
    <w:basedOn w:val="a2"/>
    <w:rsid w:val="005521D5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rsid w:val="005521D5"/>
    <w:rPr>
      <w:kern w:val="16"/>
      <w:sz w:val="24"/>
      <w:szCs w:val="24"/>
    </w:rPr>
  </w:style>
  <w:style w:type="paragraph" w:customStyle="1" w:styleId="aa">
    <w:name w:val="выделение"/>
    <w:rsid w:val="005521D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b">
    <w:name w:val="знак сноски"/>
    <w:rPr>
      <w:vertAlign w:val="superscript"/>
    </w:rPr>
  </w:style>
  <w:style w:type="paragraph" w:customStyle="1" w:styleId="ac">
    <w:name w:val="Лит"/>
    <w:p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styleId="ad">
    <w:name w:val="footer"/>
    <w:basedOn w:val="a2"/>
    <w:link w:val="ae"/>
    <w:semiHidden/>
    <w:rsid w:val="005521D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paragraph" w:customStyle="1" w:styleId="12">
    <w:name w:val="оглавление 1"/>
    <w:basedOn w:val="a2"/>
    <w:next w:val="a2"/>
    <w:autoRedefine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caps/>
      <w:noProof/>
      <w:lang w:val="en-US"/>
    </w:rPr>
  </w:style>
  <w:style w:type="paragraph" w:customStyle="1" w:styleId="21">
    <w:name w:val="оглавление 2"/>
    <w:basedOn w:val="a2"/>
    <w:next w:val="a2"/>
    <w:autoRedefine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  <w:noProof/>
      <w:lang w:val="en-US"/>
    </w:rPr>
  </w:style>
  <w:style w:type="paragraph" w:customStyle="1" w:styleId="31">
    <w:name w:val="оглавление 3"/>
    <w:basedOn w:val="a2"/>
    <w:next w:val="a2"/>
    <w:autoRedefine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noProof/>
      <w:lang w:val="en-US"/>
    </w:rPr>
  </w:style>
  <w:style w:type="paragraph" w:customStyle="1" w:styleId="41">
    <w:name w:val="оглавление 4"/>
    <w:basedOn w:val="a2"/>
    <w:next w:val="a2"/>
    <w:autoRedefine/>
    <w:pPr>
      <w:widowControl w:val="0"/>
      <w:autoSpaceDE w:val="0"/>
      <w:autoSpaceDN w:val="0"/>
      <w:adjustRightInd w:val="0"/>
      <w:ind w:firstLine="0"/>
    </w:pPr>
  </w:style>
  <w:style w:type="paragraph" w:customStyle="1" w:styleId="af">
    <w:name w:val="сноска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autoRedefine/>
    <w:rsid w:val="005521D5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5521D5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f0">
    <w:name w:val="схема"/>
    <w:basedOn w:val="a2"/>
    <w:rsid w:val="005521D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1">
    <w:name w:val="ТАБЛИЦА"/>
    <w:next w:val="a2"/>
    <w:autoRedefine/>
    <w:rsid w:val="005521D5"/>
    <w:pPr>
      <w:spacing w:line="360" w:lineRule="auto"/>
    </w:pPr>
    <w:rPr>
      <w:color w:val="000000"/>
    </w:rPr>
  </w:style>
  <w:style w:type="paragraph" w:customStyle="1" w:styleId="af2">
    <w:name w:val="титут"/>
    <w:rsid w:val="005521D5"/>
    <w:pPr>
      <w:spacing w:line="360" w:lineRule="auto"/>
      <w:jc w:val="center"/>
    </w:pPr>
    <w:rPr>
      <w:noProof/>
      <w:sz w:val="28"/>
      <w:szCs w:val="28"/>
    </w:rPr>
  </w:style>
  <w:style w:type="character" w:customStyle="1" w:styleId="af3">
    <w:name w:val="номер страницы"/>
    <w:rsid w:val="005521D5"/>
    <w:rPr>
      <w:sz w:val="28"/>
      <w:szCs w:val="28"/>
    </w:rPr>
  </w:style>
  <w:style w:type="character" w:styleId="af4">
    <w:name w:val="Hyperlink"/>
    <w:rsid w:val="005521D5"/>
    <w:rPr>
      <w:color w:val="0000FF"/>
      <w:u w:val="single"/>
    </w:rPr>
  </w:style>
  <w:style w:type="character" w:customStyle="1" w:styleId="af5">
    <w:name w:val="Текст Знак"/>
    <w:link w:val="af6"/>
    <w:locked/>
    <w:rsid w:val="005521D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af5"/>
    <w:rsid w:val="005521D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link w:val="ad"/>
    <w:semiHidden/>
    <w:locked/>
    <w:rsid w:val="005521D5"/>
    <w:rPr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7"/>
    <w:semiHidden/>
    <w:locked/>
    <w:rsid w:val="005521D5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semiHidden/>
    <w:rsid w:val="005521D5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5521D5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styleId="af8">
    <w:name w:val="page number"/>
    <w:basedOn w:val="a3"/>
    <w:rsid w:val="005521D5"/>
  </w:style>
  <w:style w:type="paragraph" w:styleId="af9">
    <w:name w:val="Normal (Web)"/>
    <w:basedOn w:val="a2"/>
    <w:rsid w:val="005521D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2">
    <w:name w:val="toc 2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2">
    <w:name w:val="toc 3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ind w:firstLine="0"/>
      <w:jc w:val="left"/>
    </w:pPr>
  </w:style>
  <w:style w:type="paragraph" w:styleId="42">
    <w:name w:val="toc 4"/>
    <w:basedOn w:val="a2"/>
    <w:next w:val="a2"/>
    <w:autoRedefine/>
    <w:semiHidden/>
    <w:rsid w:val="005521D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semiHidden/>
    <w:rsid w:val="005521D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100">
    <w:name w:val="Стиль Оглавление 1 + Первая строка:  0 см"/>
    <w:basedOn w:val="13"/>
    <w:autoRedefine/>
    <w:rsid w:val="005521D5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rsid w:val="005521D5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2"/>
    <w:autoRedefine/>
    <w:rsid w:val="005521D5"/>
    <w:pPr>
      <w:ind w:left="0"/>
    </w:pPr>
  </w:style>
  <w:style w:type="paragraph" w:customStyle="1" w:styleId="31250">
    <w:name w:val="Стиль Оглавление 3 + Слева:  125 см Первая строка:  0 см"/>
    <w:basedOn w:val="32"/>
    <w:autoRedefine/>
    <w:rsid w:val="005521D5"/>
    <w:rPr>
      <w:i/>
      <w:iCs/>
    </w:rPr>
  </w:style>
  <w:style w:type="paragraph" w:styleId="afa">
    <w:name w:val="footnote text"/>
    <w:basedOn w:val="a2"/>
    <w:autoRedefine/>
    <w:semiHidden/>
    <w:rsid w:val="005521D5"/>
    <w:pPr>
      <w:autoSpaceDE w:val="0"/>
      <w:autoSpaceDN w:val="0"/>
      <w:ind w:firstLine="70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Reanimator Extreme Edition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Колесников</dc:creator>
  <cp:lastModifiedBy>Igor</cp:lastModifiedBy>
  <cp:revision>2</cp:revision>
  <cp:lastPrinted>2008-01-31T20:15:00Z</cp:lastPrinted>
  <dcterms:created xsi:type="dcterms:W3CDTF">2024-05-01T06:17:00Z</dcterms:created>
  <dcterms:modified xsi:type="dcterms:W3CDTF">2024-05-01T06:17:00Z</dcterms:modified>
</cp:coreProperties>
</file>