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ED167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РЕФЕРАТ </w:t>
      </w:r>
    </w:p>
    <w:p w:rsidR="00000000" w:rsidRDefault="00ED167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ТЕМУ:</w:t>
      </w:r>
    </w:p>
    <w:p w:rsidR="00000000" w:rsidRDefault="00ED167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АНТАГОНИСТЫ КАЛЬЦИЯ В ЛЕЧЕНИИ ВНУТРЕННИХ</w:t>
      </w:r>
    </w:p>
    <w:p w:rsidR="00000000" w:rsidRDefault="00ED167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БОЛЕЗНЕЙ.</w:t>
      </w:r>
    </w:p>
    <w:p w:rsidR="00000000" w:rsidRDefault="00ED167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План</w:t>
      </w:r>
    </w:p>
    <w:p w:rsidR="00000000" w:rsidRDefault="00ED167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I. Механизм действия антагонистов кальция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Ионные каналы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Ингибиторы кальциевых каналов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II. Особенности разных групп препаратов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III. Классификация антагонистов кальц</w:t>
      </w:r>
      <w:r>
        <w:rPr>
          <w:smallCaps/>
          <w:noProof/>
          <w:color w:val="0000FF"/>
          <w:sz w:val="28"/>
          <w:szCs w:val="28"/>
          <w:u w:val="single"/>
        </w:rPr>
        <w:t>ия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Селективные антагонисты кальция I типа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Селективные антагонисты кальция II типа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Селективные антагонисты кальция III типа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IV. Характеристика отдельных препаратов</w:t>
      </w:r>
    </w:p>
    <w:p w:rsidR="00000000" w:rsidRDefault="00ED1676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Литература</w:t>
      </w:r>
    </w:p>
    <w:p w:rsidR="00000000" w:rsidRDefault="00ED1676">
      <w:pPr>
        <w:rPr>
          <w:b/>
          <w:bCs/>
          <w:smallCaps/>
          <w:color w:val="000000"/>
          <w:sz w:val="28"/>
          <w:szCs w:val="28"/>
        </w:rPr>
      </w:pP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lastRenderedPageBreak/>
        <w:t>I. Механизм действия антагонистов кальция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 Ионные каналы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Антагонист</w:t>
      </w:r>
      <w:r>
        <w:rPr>
          <w:color w:val="000000"/>
          <w:sz w:val="28"/>
          <w:szCs w:val="28"/>
        </w:rPr>
        <w:t xml:space="preserve">ы кальция называют также "блокаторами медленных каналов" или "блокаторами входа ионов кальция". </w:t>
      </w:r>
      <w:r>
        <w:rPr>
          <w:i/>
          <w:iCs/>
          <w:color w:val="000000"/>
          <w:sz w:val="28"/>
          <w:szCs w:val="28"/>
        </w:rPr>
        <w:t xml:space="preserve">Роль ионов кальция: </w:t>
      </w:r>
      <w:r>
        <w:rPr>
          <w:color w:val="000000"/>
          <w:sz w:val="28"/>
          <w:szCs w:val="28"/>
        </w:rPr>
        <w:t>а) в стимуляции сокращений миокарда и гладких мышц, т.е. в положительном инотропном эффекте, в частности при применении сердечных гликозидов</w:t>
      </w:r>
      <w:r>
        <w:rPr>
          <w:color w:val="000000"/>
          <w:sz w:val="28"/>
          <w:szCs w:val="28"/>
        </w:rPr>
        <w:t xml:space="preserve">, симпатомиметических аминов и ксантинов; б) в положительном хронотропном эффекте миокарда, в генезе экстрасистолии. </w:t>
      </w:r>
      <w:r>
        <w:rPr>
          <w:i/>
          <w:iCs/>
          <w:color w:val="000000"/>
          <w:sz w:val="28"/>
          <w:szCs w:val="28"/>
        </w:rPr>
        <w:t>Ионные каналы</w:t>
      </w:r>
      <w:r>
        <w:rPr>
          <w:color w:val="000000"/>
          <w:sz w:val="28"/>
          <w:szCs w:val="28"/>
        </w:rPr>
        <w:t xml:space="preserve"> представляют собой макромолекулярные белки, которые рассекают мембраны клеток, состоящие в основном из липидных бислоев (моле</w:t>
      </w:r>
      <w:r>
        <w:rPr>
          <w:color w:val="000000"/>
          <w:sz w:val="28"/>
          <w:szCs w:val="28"/>
        </w:rPr>
        <w:t xml:space="preserve">кул фосфолипидов). По ионным каналам происходит движение ионов внутрь клетки миофибриллы и из клетки наружу. Эти каналы высокоспецифичные для определенных ионов. Доступ ионов в каналы контролируется специальными участками канальцевых протеинов, называемых </w:t>
      </w:r>
      <w:r>
        <w:rPr>
          <w:color w:val="000000"/>
          <w:sz w:val="28"/>
          <w:szCs w:val="28"/>
        </w:rPr>
        <w:t xml:space="preserve">воротами благодаря их конформационным изменениям. Различают </w:t>
      </w:r>
      <w:r>
        <w:rPr>
          <w:i/>
          <w:iCs/>
          <w:color w:val="000000"/>
          <w:sz w:val="28"/>
          <w:szCs w:val="28"/>
        </w:rPr>
        <w:t xml:space="preserve">два основных вида ионных каналов: </w:t>
      </w:r>
      <w:r>
        <w:rPr>
          <w:color w:val="000000"/>
          <w:sz w:val="28"/>
          <w:szCs w:val="28"/>
        </w:rPr>
        <w:t xml:space="preserve">а) регулирующиеся деполяризацией, т.е. открывающиеся во время фазы деполяризации миофибриллы; б) регулирующиеся стимуляцией различных рецепторов. В частности,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рецепторы (могут ингибироваться празозином) и 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-рецепторы (ингибируются антагонистами кальция и йохимбином).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Кальциевые каналы характеризуются следующими особенностями: </w:t>
      </w:r>
      <w:r>
        <w:rPr>
          <w:color w:val="000000"/>
          <w:sz w:val="28"/>
          <w:szCs w:val="28"/>
        </w:rPr>
        <w:t>а) каждый канал пропускает около 30000 ионов кальция в 1 с; б) они относительно се</w:t>
      </w:r>
      <w:r>
        <w:rPr>
          <w:color w:val="000000"/>
          <w:sz w:val="28"/>
          <w:szCs w:val="28"/>
        </w:rPr>
        <w:t xml:space="preserve">лективны, так как через некоторые из них поступают также ионы натрия, бария, стронция, водорода; в) диаметр пор каналов около 0,3 - 0,5 нм; г) по сравнению с натриевыми каналами медленно активируются; их порог активации от - 30 до 40 мВт, а натриевых - 60 </w:t>
      </w:r>
      <w:r>
        <w:rPr>
          <w:color w:val="000000"/>
          <w:sz w:val="28"/>
          <w:szCs w:val="28"/>
        </w:rPr>
        <w:t>- 70 мВт; д) некоторые из них чувствительны к изменениям уровня цАМФ, т.е. контролируются фосфорилированием; е) функция каналов изменяется под влиянием ряда неорганических (ионы кобальта, марганца, никеля) и органических ингибиторов (лекарственных препарат</w:t>
      </w:r>
      <w:r>
        <w:rPr>
          <w:color w:val="000000"/>
          <w:sz w:val="28"/>
          <w:szCs w:val="28"/>
        </w:rPr>
        <w:t>ов - ингибиторов кальция).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Кальциевые каналы обнаружены: в синоатриальных, атриовентрикулярных проводящих путях, волокнах Пуркинье, миофибриллах миокарда, в гладкомышечных клетках сосудов, в скелетных мышцах (в них возбуждение в большей степени связано с в</w:t>
      </w:r>
      <w:r>
        <w:rPr>
          <w:color w:val="000000"/>
          <w:sz w:val="28"/>
          <w:szCs w:val="28"/>
        </w:rPr>
        <w:t>ходящими натриевыми каналами).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2. Ингибиторы кальциевых каналов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органические ингибиторы медленных кальциевых каналов, используемые в качестве лекарственных средств, реагируют со специфическими местами связывания на мембране клеток по аналогии связывания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-адренергических агонисов и антагонистов кальция с рецепторами гетерогенно и приводит либо к уменьшению функционирующих медленных каналов, либо к изменению кинетики каналов. Например, верапамил изменяет кинетику каналов, благодаря удлинению времени восста</w:t>
      </w:r>
      <w:r>
        <w:rPr>
          <w:color w:val="000000"/>
          <w:sz w:val="28"/>
          <w:szCs w:val="28"/>
        </w:rPr>
        <w:t>новления после каждой деполяризации, а нифедипин, не влияя на кинетику каналов, уменьшает количество функционирующих каналов.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Антагонисты кальция обладают различной тканевой специфичностью: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Нифедипин: гладкие мышцы сосудов (ГМС) &gt; миокард, узловая (прово</w:t>
      </w:r>
      <w:r>
        <w:rPr>
          <w:color w:val="000000"/>
          <w:sz w:val="28"/>
          <w:szCs w:val="28"/>
        </w:rPr>
        <w:t>дящая) ткань (УТ);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Верапамил: УТ &gt; миокард = ГМС;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Дилтиазем: ГМС &gt; УТ = миокард;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Циннаризин: ГМС &gt;&gt; миокард &gt; УТ.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тканевой специфичности антагонисты кальция способны в той или иной степени оказывать: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антиангинальное действие вследствие:</w:t>
      </w:r>
    </w:p>
    <w:p w:rsidR="00000000" w:rsidRDefault="00ED16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анта</w:t>
      </w:r>
      <w:r>
        <w:rPr>
          <w:color w:val="FFFFFF"/>
          <w:sz w:val="28"/>
          <w:szCs w:val="28"/>
        </w:rPr>
        <w:t>гонист кальций препарат ингибитор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уменьшения постнагрузки на сердце из-за снижения сопротивления в системных сосудах;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прямого отрицательного инотропного действия на миокард, снижения уровня окислительно-восстановительных процессов и, следовательно, у</w:t>
      </w:r>
      <w:r>
        <w:rPr>
          <w:color w:val="000000"/>
          <w:sz w:val="28"/>
          <w:szCs w:val="28"/>
        </w:rPr>
        <w:t>меньшения механической работы сердца. Это осуществляется путем торможения поступления ионов кальция в миофибриллы и ингибирования активируемой кальцием миофибриллярной АТФазы. Определенное значение имеет также влияние антагонистов кальция на связывание кал</w:t>
      </w:r>
      <w:r>
        <w:rPr>
          <w:color w:val="000000"/>
          <w:sz w:val="28"/>
          <w:szCs w:val="28"/>
        </w:rPr>
        <w:t>ьмадуллина с ионами кальция внутри миофибриллы, от чего зависит активация протеинкиназы, а следовательно, уровень фосфорилирования в миозине;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снижение преднагрузки из-за влияния на венозный тонус и возврат крови к сердцу;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улучшения функционального со</w:t>
      </w:r>
      <w:r>
        <w:rPr>
          <w:color w:val="000000"/>
          <w:sz w:val="28"/>
          <w:szCs w:val="28"/>
        </w:rPr>
        <w:t>стояния левого желудочка не только из-за уменьшения преднагрузки и постнагрузки, но и улучшения перфузии миокарда при ишемии, так как антагонисты кальция снимают спазм коронарных артерий, улучшают микроциркуляцию (например, нифедипин);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антиаритмический дей</w:t>
      </w:r>
      <w:r>
        <w:rPr>
          <w:color w:val="000000"/>
          <w:sz w:val="28"/>
          <w:szCs w:val="28"/>
        </w:rPr>
        <w:t xml:space="preserve">ствие оказывает верапамил, он относится 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группе антиаритмических средств. Другие антагонисты кальция менее эффективны. Верапамил: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селективно тормозит медленный трансмембранный ток ионов кальция внутрь сердечной клетки;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уменьшает спонтанную активн</w:t>
      </w:r>
      <w:r>
        <w:rPr>
          <w:color w:val="000000"/>
          <w:sz w:val="28"/>
          <w:szCs w:val="28"/>
        </w:rPr>
        <w:t>ость синусового узла;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ухудшает сократимость желудочковых волокон;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понижает ненормально повышенный автоматизм в предсердии;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замедляет атриовентрикулярную проводимость на уровне атриовентрикулярного узла.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гипотензивное действие вследствие: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прямог</w:t>
      </w:r>
      <w:r>
        <w:rPr>
          <w:color w:val="000000"/>
          <w:sz w:val="28"/>
          <w:szCs w:val="28"/>
        </w:rPr>
        <w:t>о расслабляющего воздействия на гладкие мышцы сосудов;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снижения периферического сопротивления.</w:t>
      </w: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II. Особенности разных групп препаратов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Антагонисты кальция вызывают снижение артериального давления при одновременном увеличении сердечного выброса и ЧСС, о</w:t>
      </w:r>
      <w:r>
        <w:rPr>
          <w:color w:val="000000"/>
          <w:sz w:val="28"/>
          <w:szCs w:val="28"/>
        </w:rPr>
        <w:t>ни не ухудшают липидный спектр, уменьшают агрегацию тромбоцитов и вязкость крови, вызывают регрессию гипертрофированного левого желудочка. Препараты расширяют мозговые и коронарные артерии, не нарушают половую функцию у мужчин.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АНТАГОНИСТЫ КАЛЬЦИЯ ПЕРВОГ</w:t>
      </w:r>
      <w:r>
        <w:rPr>
          <w:color w:val="000000"/>
          <w:sz w:val="28"/>
          <w:szCs w:val="28"/>
        </w:rPr>
        <w:t>О ПОКОЛЕНИЯ: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дигидропиридиновые производные (нифедипин), б) производные изохинолина (верапамил), в) производные бензодиазепина (дилтиазем). Наибольшей популярностью пользуются препараты группы дигидропиридинов. Недостатком их является достаточно высокая</w:t>
      </w:r>
      <w:r>
        <w:rPr>
          <w:color w:val="000000"/>
          <w:sz w:val="28"/>
          <w:szCs w:val="28"/>
        </w:rPr>
        <w:t xml:space="preserve"> частота побочных эффектов, связанных с быстрой вазодилатацией и рефлекторной активацией симпатоадреналовой системы (головная боль, тахикардия, гиперемия). Рекомендуется не превышать суточную дозу нифедипина короткого действия более 40 мг/сут. Суточные доз</w:t>
      </w:r>
      <w:r>
        <w:rPr>
          <w:color w:val="000000"/>
          <w:sz w:val="28"/>
          <w:szCs w:val="28"/>
        </w:rPr>
        <w:t>ы препаратов верапамиловой группы - 160-320 мг, дилтиаземовой - 120-180 мг.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АНТАГОНИСТЫ КАЛЬЦИЯ ВТОРОГО ПОКОЛЕНИЯ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длительном лечении больных гипертонической болезнью целесообразно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антагонисты кальция второго поколения: производные препар</w:t>
      </w:r>
      <w:r>
        <w:rPr>
          <w:color w:val="000000"/>
          <w:sz w:val="28"/>
          <w:szCs w:val="28"/>
        </w:rPr>
        <w:t>атов-прототипов (амлодипин, исрадипин, нимодипин, лацидипин) и новые формы препаратов с замедленным высвобождением активного вещества (адалат SL, изоптин SR, дилрен). Основная особенность новых препаратов - большая продолжительность действия, избирательное</w:t>
      </w:r>
      <w:r>
        <w:rPr>
          <w:color w:val="000000"/>
          <w:sz w:val="28"/>
          <w:szCs w:val="28"/>
        </w:rPr>
        <w:t xml:space="preserve"> влияние на тонус сосудов, постепенный антигипертензивный эффект, что позволяет избежать многих побочных эффектов.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Антагонисты кальция, препятствуя входу кальция в миоциты и гладкомышечные клетки, уменьшают потребность миокарда в кислороде из-за снижения е</w:t>
      </w:r>
      <w:r>
        <w:rPr>
          <w:color w:val="000000"/>
          <w:sz w:val="28"/>
          <w:szCs w:val="28"/>
        </w:rPr>
        <w:t>го сократимости, а также снижения постнагрузки путем дилатации артерий и уменьшения артериального кровяного давления. Кроме того, антагонисты кальция вызывают расширение коронарных сосудов и являются препаратами выбора при спазме коронарных артерий. Антаго</w:t>
      </w:r>
      <w:r>
        <w:rPr>
          <w:color w:val="000000"/>
          <w:sz w:val="28"/>
          <w:szCs w:val="28"/>
        </w:rPr>
        <w:t>нисты кальция - это различные в химическом, фармакологическом и клиническом отношении препараты, поэтому при их назначении требуется дифференцированный подход. Препараты верапамила с учетом их тормозящего влияния на проводящую систему миокарда и его сократ</w:t>
      </w:r>
      <w:r>
        <w:rPr>
          <w:color w:val="000000"/>
          <w:sz w:val="28"/>
          <w:szCs w:val="28"/>
        </w:rPr>
        <w:t>имость, а также отрицательного хронотропного эффекта целесообразнее использовать у больных стенокардией со склонностью к нарушениям ритма, тахикардии, повышению артериального давления. Препараты нифедипина из-за их преимущественного действия на тонус сосуд</w:t>
      </w:r>
      <w:r>
        <w:rPr>
          <w:color w:val="000000"/>
          <w:sz w:val="28"/>
          <w:szCs w:val="28"/>
        </w:rPr>
        <w:t>ов в первую очередь предпочтительнее применять у больных стенокардией в сочетании с артериальной гипертензией.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МЕХАНИЗМЫ АНТИАНГИНАЛЬНОГО ДЕЙСТВИЯ АНТАГОНИСТОВ КАЛЬЦИЯ. 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1068"/>
        <w:gridCol w:w="968"/>
        <w:gridCol w:w="1299"/>
        <w:gridCol w:w="797"/>
        <w:gridCol w:w="1172"/>
        <w:gridCol w:w="1172"/>
        <w:gridCol w:w="11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Препараты</w:t>
            </w:r>
          </w:p>
        </w:tc>
        <w:tc>
          <w:tcPr>
            <w:tcW w:w="3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Коронарный кровоток</w:t>
            </w:r>
          </w:p>
        </w:tc>
        <w:tc>
          <w:tcPr>
            <w:tcW w:w="4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Потребление кислорода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макро-гемоди-намика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колла-тер</w:t>
            </w:r>
            <w:r>
              <w:rPr>
                <w:color w:val="000000"/>
                <w:sz w:val="20"/>
                <w:szCs w:val="20"/>
              </w:rPr>
              <w:t>аль ный кро-воток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коронаро-спазм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ЧСС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пред- нагрузка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пост- нагрузка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сократи- 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Верапамил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↑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Нифедипин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↑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↓↓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↓↓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дилтиазем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↑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1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↓↓</w:t>
            </w:r>
          </w:p>
        </w:tc>
      </w:tr>
    </w:tbl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Тактика назначения антагонистов кальции для лечение стенокардии в период нестабильного ее теч</w:t>
      </w:r>
      <w:r>
        <w:rPr>
          <w:color w:val="000000"/>
          <w:sz w:val="28"/>
          <w:szCs w:val="28"/>
        </w:rPr>
        <w:t xml:space="preserve">ения: дополнительно при появлении приступов стенокардии в покое, в ночные и в предутренние часы, а также утром, до приема пищи; при тенденции к брадикардии (пульс реже 60-55 в 1 мин), мешающей увеличить дозу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-блокаторов, когда это требуется;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изолированн</w:t>
      </w:r>
      <w:r>
        <w:rPr>
          <w:color w:val="000000"/>
          <w:sz w:val="28"/>
          <w:szCs w:val="28"/>
        </w:rPr>
        <w:t xml:space="preserve">о - взамен противопоказанных больному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-блокаторов. В первом случае обычно достаточно 30-40 мг коринфара в день, принимаемых вечером, на ночь, рано утром; во втором случае суточную дозу коринфара увеличивают до уровня, обеспечивающего антиангинальный эффек</w:t>
      </w:r>
      <w:r>
        <w:rPr>
          <w:color w:val="000000"/>
          <w:sz w:val="28"/>
          <w:szCs w:val="28"/>
        </w:rPr>
        <w:t>т (если брадикардия отсутствует, то пригоден и верапамил по 40 мг 4-6 раз в сутки).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Соответственно перечисленным особенностям действия этих препаратов предопределяется возможность сочетания их с другими. Так, верапамил нежелательно сочетать с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-блокаторами</w:t>
      </w:r>
      <w:r>
        <w:rPr>
          <w:color w:val="000000"/>
          <w:sz w:val="28"/>
          <w:szCs w:val="28"/>
        </w:rPr>
        <w:t xml:space="preserve"> из-за опасности потенцирования отрицательного инотропного эффекта и нарушения атриовентрикулярной проводимости. Использование же препаратов нифедипина с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-блокаторами в этом плане полностью оправдано и подтверждается хорошим клиническим эффектом. Все анта</w:t>
      </w:r>
      <w:r>
        <w:rPr>
          <w:color w:val="000000"/>
          <w:sz w:val="28"/>
          <w:szCs w:val="28"/>
        </w:rPr>
        <w:t>гонисты кальция являются препаратами выбора при вазоспастическом генезе стенокардии.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Препараты нифедипина, если необходимо получить быстрый эффект, могут приниматься сублингвально. В таких случаях эффект наступает через 20-30 мин, в 2-3 раза быстрее, чем п</w:t>
      </w:r>
      <w:r>
        <w:rPr>
          <w:color w:val="000000"/>
          <w:sz w:val="28"/>
          <w:szCs w:val="28"/>
        </w:rPr>
        <w:t>ри приеме внутрь. Разовая доза препаратов группы верапамила равна 80-120 мг, нифедипина - 10-30, дилтиазема - 60-120 мг. Как правило, практикуется трехкратный прием в течение суток. Имеются данные о замедлении прогрессирования атеросклероза в случаях длите</w:t>
      </w:r>
      <w:r>
        <w:rPr>
          <w:color w:val="000000"/>
          <w:sz w:val="28"/>
          <w:szCs w:val="28"/>
        </w:rPr>
        <w:t>льного приема антагонистов кальция из-за их воздействия на липидный обмен, особенно препаратов второй генерации (амлодипин, исрадипин). По данным контролируемых исследований, для лечения стенокардии из препаратов второй генерации хорошо себя зарекомендовал</w:t>
      </w:r>
      <w:r>
        <w:rPr>
          <w:color w:val="000000"/>
          <w:sz w:val="28"/>
          <w:szCs w:val="28"/>
        </w:rPr>
        <w:t xml:space="preserve"> амлодипин. Он не только повышал толерантность к физической нагрузке, но и снижал летальность.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Наибольшее применение при лечении гипертрофической КМП нашли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-блокаторы и верапамил. Их назначение необходимо как на стадии клинических проявлений (боли, аритми</w:t>
      </w:r>
      <w:r>
        <w:rPr>
          <w:color w:val="000000"/>
          <w:sz w:val="28"/>
          <w:szCs w:val="28"/>
        </w:rPr>
        <w:t>я, одышка), так и при бессимптомном течении из-за их действия по задерживанию прогрессирования заболевания путем снижения внутрижелудочкового градиента давления и улучшения диастолической функции желудочка. Препараты показаны в обычных дозах; пропранолол п</w:t>
      </w:r>
      <w:r>
        <w:rPr>
          <w:color w:val="000000"/>
          <w:sz w:val="28"/>
          <w:szCs w:val="28"/>
        </w:rPr>
        <w:t>о 120-160 мг/сут, верапамил по 240-480 мг/сут</w:t>
      </w: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III. Классификация антагонистов кальция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1. Селективные антагонисты кальция I типа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Обладают противоаритмической, антиангинальной и гипотензивной активностью. Снижают активность синусового узла (антиаритмическ</w:t>
      </w:r>
      <w:r>
        <w:rPr>
          <w:color w:val="000000"/>
          <w:sz w:val="28"/>
          <w:szCs w:val="28"/>
        </w:rPr>
        <w:t>ое действие при наджелудочковых аритмиях); снижают потребность миокарда в кислороде (за счет снижения сократимости миокарда и урежения ЧСС); вызывают расширение коронарных артерий - антиангинальное действие при стенокардии; снижают тонус периферических арт</w:t>
      </w:r>
      <w:r>
        <w:rPr>
          <w:color w:val="000000"/>
          <w:sz w:val="28"/>
          <w:szCs w:val="28"/>
        </w:rPr>
        <w:t>ерий и ОПС (гипотензивное действие). Эта группа препаратов показана при стабильной и нестабильной стенокардии, сочетающейся с повышенной эктопической активностью (экстрасистолия, пароксизмальная стенокардия, фибрилляция предсердий), но без брадикардии и на</w:t>
      </w:r>
      <w:r>
        <w:rPr>
          <w:color w:val="000000"/>
          <w:sz w:val="28"/>
          <w:szCs w:val="28"/>
        </w:rPr>
        <w:t xml:space="preserve">рушений проводимости. Противопоказана при блокадах высоких степеней, выраженной брадикардии и выраженной сердечной недостаточности. Переносимость препаратов хорошая, привыкания не наблюдается: </w:t>
      </w:r>
      <w:r>
        <w:rPr>
          <w:b/>
          <w:bCs/>
          <w:color w:val="000000"/>
          <w:sz w:val="28"/>
          <w:szCs w:val="28"/>
        </w:rPr>
        <w:t>верапамил (</w:t>
      </w:r>
      <w:r>
        <w:rPr>
          <w:i/>
          <w:iCs/>
          <w:color w:val="000000"/>
          <w:sz w:val="28"/>
          <w:szCs w:val="28"/>
        </w:rPr>
        <w:t xml:space="preserve">апо-верап, веракард, верамил, веранорм, верапабене, </w:t>
      </w:r>
      <w:r>
        <w:rPr>
          <w:i/>
          <w:iCs/>
          <w:color w:val="000000"/>
          <w:sz w:val="28"/>
          <w:szCs w:val="28"/>
        </w:rPr>
        <w:t xml:space="preserve">верапамил-Мик, изоптин, каверил, калан, лекоптин, фаликард, финоптин); </w:t>
      </w:r>
      <w:r>
        <w:rPr>
          <w:b/>
          <w:bCs/>
          <w:color w:val="000000"/>
          <w:sz w:val="28"/>
          <w:szCs w:val="28"/>
        </w:rPr>
        <w:t>галлопамил (</w:t>
      </w:r>
      <w:r>
        <w:rPr>
          <w:i/>
          <w:iCs/>
          <w:color w:val="000000"/>
          <w:sz w:val="28"/>
          <w:szCs w:val="28"/>
        </w:rPr>
        <w:t>прокорум);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2. Селективные антагонисты кальция II типа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Обладают слабой противоаритмической и выраженной антиангинальной, а также гипотензивной активностью. Применяют при ст</w:t>
      </w:r>
      <w:r>
        <w:rPr>
          <w:color w:val="000000"/>
          <w:sz w:val="28"/>
          <w:szCs w:val="28"/>
        </w:rPr>
        <w:t>енокардии и гипертонической болезни. Препараты этой группы снижают преимущественно постнагрузку и артериальное давление. Влияния на автоматизм, проводимость и сократимость миокарда выражены слабо. Эти препараты показаны при спонтанной стенокардии или стено</w:t>
      </w:r>
      <w:r>
        <w:rPr>
          <w:color w:val="000000"/>
          <w:sz w:val="28"/>
          <w:szCs w:val="28"/>
        </w:rPr>
        <w:t>кардии напряжения, протекающей с элементами ангиоспазма, при склонности к брадикардии и не противопоказаны при нарушениях проводимости. Кроме того, нифедипин обладает натрийуретическим действием. Склонность к тахикардии выражена слабо, поэтому не следует в</w:t>
      </w:r>
      <w:r>
        <w:rPr>
          <w:color w:val="000000"/>
          <w:sz w:val="28"/>
          <w:szCs w:val="28"/>
        </w:rPr>
        <w:t xml:space="preserve">оздерживаться от их назначения при ЧСС до 100 уд/мин, если это необходимо. Некоторые препараты (никардипин, нимодипин) улучшают мозговое кровообращение (при его нарушениях по ишемическому типу): </w:t>
      </w:r>
      <w:r>
        <w:rPr>
          <w:b/>
          <w:bCs/>
          <w:color w:val="000000"/>
          <w:sz w:val="28"/>
          <w:szCs w:val="28"/>
        </w:rPr>
        <w:t>нифедипин (</w:t>
      </w:r>
      <w:r>
        <w:rPr>
          <w:i/>
          <w:iCs/>
          <w:color w:val="000000"/>
          <w:sz w:val="28"/>
          <w:szCs w:val="28"/>
        </w:rPr>
        <w:t>адалат, апонифед, гипернал, депин-Е кальциград, ко</w:t>
      </w:r>
      <w:r>
        <w:rPr>
          <w:i/>
          <w:iCs/>
          <w:color w:val="000000"/>
          <w:sz w:val="28"/>
          <w:szCs w:val="28"/>
        </w:rPr>
        <w:t xml:space="preserve">рдафен, кордафлекс, кордипин, коринфар, никардия, нифадил, нифе-Вольф, нифебене, нифегексал, нифедекс, нифедикор, нифекард, нифелат, нифесан, нификард, осмо-адалат, санфидипин, спониф, федин, фенамон, фенигидин, эпилат); </w:t>
      </w:r>
      <w:r>
        <w:rPr>
          <w:b/>
          <w:bCs/>
          <w:color w:val="000000"/>
          <w:sz w:val="28"/>
          <w:szCs w:val="28"/>
        </w:rPr>
        <w:t>риодипин (</w:t>
      </w:r>
      <w:r>
        <w:rPr>
          <w:i/>
          <w:iCs/>
          <w:color w:val="000000"/>
          <w:sz w:val="28"/>
          <w:szCs w:val="28"/>
        </w:rPr>
        <w:t xml:space="preserve">форидон); </w:t>
      </w:r>
      <w:r>
        <w:rPr>
          <w:b/>
          <w:bCs/>
          <w:color w:val="000000"/>
          <w:sz w:val="28"/>
          <w:szCs w:val="28"/>
        </w:rPr>
        <w:t>нитрендипин (</w:t>
      </w:r>
      <w:r>
        <w:rPr>
          <w:i/>
          <w:iCs/>
          <w:color w:val="000000"/>
          <w:sz w:val="28"/>
          <w:szCs w:val="28"/>
        </w:rPr>
        <w:t>ба</w:t>
      </w:r>
      <w:r>
        <w:rPr>
          <w:i/>
          <w:iCs/>
          <w:color w:val="000000"/>
          <w:sz w:val="28"/>
          <w:szCs w:val="28"/>
        </w:rPr>
        <w:t xml:space="preserve">йпресс, люсопресс, нитрепин, унипрес); </w:t>
      </w:r>
      <w:r>
        <w:rPr>
          <w:b/>
          <w:bCs/>
          <w:color w:val="000000"/>
          <w:sz w:val="28"/>
          <w:szCs w:val="28"/>
        </w:rPr>
        <w:t>никардипин (</w:t>
      </w:r>
      <w:r>
        <w:rPr>
          <w:i/>
          <w:iCs/>
          <w:color w:val="000000"/>
          <w:sz w:val="28"/>
          <w:szCs w:val="28"/>
        </w:rPr>
        <w:t xml:space="preserve">баризин, лизанирк, нердипин, пердипин); </w:t>
      </w:r>
      <w:r>
        <w:rPr>
          <w:b/>
          <w:bCs/>
          <w:color w:val="000000"/>
          <w:sz w:val="28"/>
          <w:szCs w:val="28"/>
        </w:rPr>
        <w:t>нимодипин (</w:t>
      </w:r>
      <w:r>
        <w:rPr>
          <w:i/>
          <w:iCs/>
          <w:color w:val="000000"/>
          <w:sz w:val="28"/>
          <w:szCs w:val="28"/>
        </w:rPr>
        <w:t xml:space="preserve">бреинал, немотан, нимотоп); </w:t>
      </w:r>
      <w:r>
        <w:rPr>
          <w:b/>
          <w:bCs/>
          <w:color w:val="000000"/>
          <w:sz w:val="28"/>
          <w:szCs w:val="28"/>
        </w:rPr>
        <w:t>низолдипин (</w:t>
      </w:r>
      <w:r>
        <w:rPr>
          <w:i/>
          <w:iCs/>
          <w:color w:val="000000"/>
          <w:sz w:val="28"/>
          <w:szCs w:val="28"/>
        </w:rPr>
        <w:t xml:space="preserve">сискор); </w:t>
      </w:r>
      <w:r>
        <w:rPr>
          <w:b/>
          <w:bCs/>
          <w:color w:val="000000"/>
          <w:sz w:val="28"/>
          <w:szCs w:val="28"/>
        </w:rPr>
        <w:t>фелодипин (</w:t>
      </w:r>
      <w:r>
        <w:rPr>
          <w:i/>
          <w:iCs/>
          <w:color w:val="000000"/>
          <w:sz w:val="28"/>
          <w:szCs w:val="28"/>
        </w:rPr>
        <w:t xml:space="preserve">плендил); </w:t>
      </w:r>
      <w:r>
        <w:rPr>
          <w:b/>
          <w:bCs/>
          <w:color w:val="000000"/>
          <w:sz w:val="28"/>
          <w:szCs w:val="28"/>
        </w:rPr>
        <w:t>исрадипин (</w:t>
      </w:r>
      <w:r>
        <w:rPr>
          <w:i/>
          <w:iCs/>
          <w:color w:val="000000"/>
          <w:sz w:val="28"/>
          <w:szCs w:val="28"/>
        </w:rPr>
        <w:t xml:space="preserve">ломир); </w:t>
      </w:r>
      <w:r>
        <w:rPr>
          <w:b/>
          <w:bCs/>
          <w:color w:val="000000"/>
          <w:sz w:val="28"/>
          <w:szCs w:val="28"/>
        </w:rPr>
        <w:t>амлодипин (</w:t>
      </w:r>
      <w:r>
        <w:rPr>
          <w:i/>
          <w:iCs/>
          <w:color w:val="000000"/>
          <w:sz w:val="28"/>
          <w:szCs w:val="28"/>
        </w:rPr>
        <w:t xml:space="preserve">амловас, амлодис, маедура, норваск, стамло); </w:t>
      </w:r>
      <w:r>
        <w:rPr>
          <w:b/>
          <w:bCs/>
          <w:color w:val="000000"/>
          <w:sz w:val="28"/>
          <w:szCs w:val="28"/>
        </w:rPr>
        <w:t xml:space="preserve">фендилин </w:t>
      </w:r>
      <w:r>
        <w:rPr>
          <w:b/>
          <w:b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сензит); </w:t>
      </w:r>
      <w:r>
        <w:rPr>
          <w:b/>
          <w:bCs/>
          <w:color w:val="000000"/>
          <w:sz w:val="28"/>
          <w:szCs w:val="28"/>
        </w:rPr>
        <w:t>лацидипин</w:t>
      </w:r>
      <w:r>
        <w:rPr>
          <w:i/>
          <w:iCs/>
          <w:color w:val="000000"/>
          <w:sz w:val="28"/>
          <w:szCs w:val="28"/>
        </w:rPr>
        <w:t xml:space="preserve"> (лаципил);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t>3. Селективные антагонисты кальция III типа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Блокаторы "медленных" кальциевых каналов обладают антиангинальной, гипотензивной и противоаритмической, активностью. Группа дилтиазема обладает многими привлекательными чертами, о</w:t>
      </w:r>
      <w:r>
        <w:rPr>
          <w:color w:val="000000"/>
          <w:sz w:val="28"/>
          <w:szCs w:val="28"/>
        </w:rPr>
        <w:t xml:space="preserve">бъединяя свойства верапамила и нифедипина. Эти препараты угнетают автоматизм и замедляют проводимость меньше, чем верапамил и снижают АД меньше, чем нифедипин: </w:t>
      </w:r>
      <w:r>
        <w:rPr>
          <w:b/>
          <w:bCs/>
          <w:color w:val="000000"/>
          <w:sz w:val="28"/>
          <w:szCs w:val="28"/>
        </w:rPr>
        <w:t>дилтиазем (</w:t>
      </w:r>
      <w:r>
        <w:rPr>
          <w:i/>
          <w:iCs/>
          <w:color w:val="000000"/>
          <w:sz w:val="28"/>
          <w:szCs w:val="28"/>
        </w:rPr>
        <w:t>алдизем, алтиазем, ангизем, апо-дилтиаз, блокалцин, диазем, дилзем, дилтисан, дильрен</w:t>
      </w:r>
      <w:r>
        <w:rPr>
          <w:i/>
          <w:iCs/>
          <w:color w:val="000000"/>
          <w:sz w:val="28"/>
          <w:szCs w:val="28"/>
        </w:rPr>
        <w:t>, зильден, кардил, кордил, кортиазем, реталзем, тиакем);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неселективные антагонисты кальция (блокаторы низко - и высоковольтажных кальциевых каналов). Обладают антиангинальной и гипотензивной активностью: </w:t>
      </w:r>
      <w:r>
        <w:rPr>
          <w:b/>
          <w:bCs/>
          <w:color w:val="000000"/>
          <w:sz w:val="28"/>
          <w:szCs w:val="28"/>
        </w:rPr>
        <w:t>мифебрадил (</w:t>
      </w:r>
      <w:r>
        <w:rPr>
          <w:i/>
          <w:iCs/>
          <w:color w:val="000000"/>
          <w:sz w:val="28"/>
          <w:szCs w:val="28"/>
        </w:rPr>
        <w:t>позикор).</w:t>
      </w: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IV. Характеристика отдельн</w:t>
      </w:r>
      <w:r>
        <w:rPr>
          <w:b/>
          <w:bCs/>
          <w:i/>
          <w:iCs/>
          <w:smallCaps/>
          <w:noProof/>
          <w:color w:val="000000"/>
          <w:sz w:val="28"/>
          <w:szCs w:val="28"/>
        </w:rPr>
        <w:t>ых препаратов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ВЕРАПАМИЛ (</w:t>
      </w:r>
      <w:r>
        <w:rPr>
          <w:color w:val="000000"/>
          <w:sz w:val="28"/>
          <w:szCs w:val="28"/>
          <w:lang w:val="en-US"/>
        </w:rPr>
        <w:t>VERAPAMIL</w:t>
      </w:r>
      <w:r>
        <w:rPr>
          <w:color w:val="000000"/>
          <w:sz w:val="28"/>
          <w:szCs w:val="28"/>
        </w:rPr>
        <w:t>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и форма выпуска.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вещество - верапамила гидрохлорид. Таблетки, драже, капсулы (0,04; 0,08 г.). Депо - таблетки 0,12 и 0,24 г. Фильм - таблетки 0,12 г. Капсулы ретард 0,18 г. Раствор (1 мл - 0,00025 г.)</w:t>
      </w:r>
      <w:r>
        <w:rPr>
          <w:color w:val="000000"/>
          <w:sz w:val="28"/>
          <w:szCs w:val="28"/>
        </w:rPr>
        <w:t xml:space="preserve"> в ампулах.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Фармакологическое 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Антагонист кальция. Уменьшает ток ионов кальция по медленным каналам. Блокирует кальциевые каналы клеток миокарда и сосудов. Обладает антиаритмической, антиангинальной и гипотензивной активностью. Снижает потребность</w:t>
      </w:r>
      <w:r>
        <w:rPr>
          <w:color w:val="000000"/>
          <w:sz w:val="28"/>
          <w:szCs w:val="28"/>
        </w:rPr>
        <w:t xml:space="preserve"> миокарда в кислороде за счет снижения сократимости миокарда и урежения ЧСС и увеличивает доставку кислорода к миокарду. При ишемических процессах в миокарде препарат способствует уменьшению диспропорции между потребностью и снабжением сердца кислородом, к</w:t>
      </w:r>
      <w:r>
        <w:rPr>
          <w:color w:val="000000"/>
          <w:sz w:val="28"/>
          <w:szCs w:val="28"/>
        </w:rPr>
        <w:t>ак путем увеличения кровоснабжения, так и лучшей утилизацией (усвоением) и более экономным расходованием доставляемого кислорода. Вызывает расширение коронарных артерий и увеличение коронарного кровотока. Снижает тонус гладкой мускулатуры периферических ар</w:t>
      </w:r>
      <w:r>
        <w:rPr>
          <w:color w:val="000000"/>
          <w:sz w:val="28"/>
          <w:szCs w:val="28"/>
        </w:rPr>
        <w:t>терий и общее периферическое сосудистое сопротивление. Оказывает антиаритмическое действие при наджелудочковых аритмиях, относится к антиаритмическим препаратам IV класса Верапамил незначительно влияет на нормальное или пониженное АД, оказывает гипотензивн</w:t>
      </w:r>
      <w:r>
        <w:rPr>
          <w:color w:val="000000"/>
          <w:sz w:val="28"/>
          <w:szCs w:val="28"/>
        </w:rPr>
        <w:t>ое действие при повышенном давлении.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 уменьшает сократимость миокарда, но в связи с расширением периферических сосудов и уменьшением сосудистого сопротивления сердечный выброс существенно не меняется. Препарат подавляет агрегацию (склеивание) тромб</w:t>
      </w:r>
      <w:r>
        <w:rPr>
          <w:color w:val="000000"/>
          <w:sz w:val="28"/>
          <w:szCs w:val="28"/>
        </w:rPr>
        <w:t>оцитов. Кроме того, оказывает некоторое мочегонное действие. В механизме антиангинального (противоишемического) действия верапамила наряду с антагонизмом по отношению к ионам кальция играет роль также повышение содержания ионов калия в клетках миокарда.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</w:t>
      </w:r>
      <w:r>
        <w:rPr>
          <w:color w:val="000000"/>
          <w:sz w:val="28"/>
          <w:szCs w:val="28"/>
        </w:rPr>
        <w:t>рмакокинетика.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пероральном приеме верапамил абсорбируется более чем на 90%. Биодоступность составляет 10 - 22% из-за быстрого метаболизма при первом "прохождении" препарата через печень. Связывание с белками плазмы - 90%. Пик концентрации в плазме дост</w:t>
      </w:r>
      <w:r>
        <w:rPr>
          <w:color w:val="000000"/>
          <w:sz w:val="28"/>
          <w:szCs w:val="28"/>
        </w:rPr>
        <w:t>игается через 2 часа после приема, затем быстро снижается. Метаболиты верапамила выводятся с мочой и фекальными массами.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Стенокардия. Профилактика приступов стенокардии (в т. ч. и стенокардии Принцметалла).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Терапия после инфаркта миокарда (д</w:t>
      </w:r>
      <w:r>
        <w:rPr>
          <w:color w:val="000000"/>
          <w:sz w:val="28"/>
          <w:szCs w:val="28"/>
        </w:rPr>
        <w:t>ля предотвращения расширения очага ишемии).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Артериальная гипертония. Купирование гипертонического криза (в/в введение).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Нарушения сердечного ритма. Лечение и профилактика наджелудочковых аритмий (пароксизмальная наджелудочковая тахикардия, мерцание пре</w:t>
      </w:r>
      <w:r>
        <w:rPr>
          <w:color w:val="000000"/>
          <w:sz w:val="28"/>
          <w:szCs w:val="28"/>
        </w:rPr>
        <w:t>дсердий, трепетание предсердий, экстрасистолия).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Гипертрофическая кардиомиопатия, спазм церебральных сосудов, первичная легочная гипертензия, декомпенсированные пороки сердца.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дозирования.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Для профилактики приступов стенокардии, аритмии и при лечен</w:t>
      </w:r>
      <w:r>
        <w:rPr>
          <w:i/>
          <w:iCs/>
          <w:color w:val="000000"/>
          <w:sz w:val="28"/>
          <w:szCs w:val="28"/>
        </w:rPr>
        <w:t xml:space="preserve">ии артериальной гипертонии </w:t>
      </w:r>
      <w:r>
        <w:rPr>
          <w:color w:val="000000"/>
          <w:sz w:val="28"/>
          <w:szCs w:val="28"/>
        </w:rPr>
        <w:t>назначают внутрь в начальной дозе по 40 - 80 мг 3 раза в сутки (для лекарственных форм обычной продолжительности действия) или по 120 мг (200 или 240 мг) 2 раза в сутки (для пролонгированных форм). При длительном лечении препарат</w:t>
      </w:r>
      <w:r>
        <w:rPr>
          <w:color w:val="000000"/>
          <w:sz w:val="28"/>
          <w:szCs w:val="28"/>
        </w:rPr>
        <w:t>ом, особенно артериальной гипертонии, возможен переход на однократное назначение пролонгированной формы препарата. Максимальная суточная доза верапамила составляет 480 мг. Поддерживающую терапию (меньшими, индивидуально подобранными дозами) проводят длител</w:t>
      </w:r>
      <w:r>
        <w:rPr>
          <w:color w:val="000000"/>
          <w:sz w:val="28"/>
          <w:szCs w:val="28"/>
        </w:rPr>
        <w:t>ьно. Отмечено, что толерантности (снижения или отсутствия эффекта при повторном применении) при применении верапамила (в отличие от органических нитратов и нифедипина) не развивается. Наоборот, антиишемический эффект при регулярном приеме верапамила возрас</w:t>
      </w:r>
      <w:r>
        <w:rPr>
          <w:color w:val="000000"/>
          <w:sz w:val="28"/>
          <w:szCs w:val="28"/>
        </w:rPr>
        <w:t>тает. Таблетки, драже или капсулы следует принимать во время или сразу после еды, запивая небольшим количеством воды.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Для купирования пароксизмальных нарушений ритма или гипертонического криза </w:t>
      </w:r>
      <w:r>
        <w:rPr>
          <w:color w:val="000000"/>
          <w:sz w:val="28"/>
          <w:szCs w:val="28"/>
        </w:rPr>
        <w:t xml:space="preserve">верапамил вводят в/в струйно медленно (в течение 2 - 5 мин.) в </w:t>
      </w:r>
      <w:r>
        <w:rPr>
          <w:color w:val="000000"/>
          <w:sz w:val="28"/>
          <w:szCs w:val="28"/>
        </w:rPr>
        <w:t>дозе 5 - 10 мг под контролем АД, ЧСС и ЭКГ. При отсутствии эффекта препарат можно ввести повторно через 20 мин в той же дозе.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 приступах стенокардии</w:t>
      </w:r>
      <w:r>
        <w:rPr>
          <w:color w:val="000000"/>
          <w:sz w:val="28"/>
          <w:szCs w:val="28"/>
        </w:rPr>
        <w:t xml:space="preserve"> вводят внутривенно 2-4 мл 0,25% раствора. Можно вводить капельно, предварительно разбавив содержимое амп</w:t>
      </w:r>
      <w:r>
        <w:rPr>
          <w:color w:val="000000"/>
          <w:sz w:val="28"/>
          <w:szCs w:val="28"/>
        </w:rPr>
        <w:t>улы 100-150 мл изотонического раствора хлорида натрия или 5% раствора глюкозы.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Побочные действия.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 стороны сердечно-сосудистой системы: </w:t>
      </w:r>
      <w:r>
        <w:rPr>
          <w:color w:val="000000"/>
          <w:sz w:val="28"/>
          <w:szCs w:val="28"/>
        </w:rPr>
        <w:t xml:space="preserve">синусовая брадикардия, синоатриальная блокада, асисистолия, атриовентрикулярная блокада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ст., брадиаритмическа</w:t>
      </w:r>
      <w:r>
        <w:rPr>
          <w:color w:val="000000"/>
          <w:sz w:val="28"/>
          <w:szCs w:val="28"/>
        </w:rPr>
        <w:t>я форма мерцательной аритмии, гипотония, возможно развитие сердечной недостаточности;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 стороны ЦНС: </w:t>
      </w:r>
      <w:r>
        <w:rPr>
          <w:color w:val="000000"/>
          <w:sz w:val="28"/>
          <w:szCs w:val="28"/>
        </w:rPr>
        <w:t>редко - головокружение, заторможенность, головная боль, усталость, нервозность, парестезии в конечностях, повышенная утомляемость;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 стороны ЖКТ: </w:t>
      </w:r>
      <w:r>
        <w:rPr>
          <w:color w:val="000000"/>
          <w:sz w:val="28"/>
          <w:szCs w:val="28"/>
        </w:rPr>
        <w:t xml:space="preserve">иногда </w:t>
      </w:r>
      <w:r>
        <w:rPr>
          <w:color w:val="000000"/>
          <w:sz w:val="28"/>
          <w:szCs w:val="28"/>
        </w:rPr>
        <w:t>отмечались запоры, тошнота, повышение активности печеночных трансаминаз;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Прочие</w:t>
      </w:r>
      <w:r>
        <w:rPr>
          <w:color w:val="000000"/>
          <w:sz w:val="28"/>
          <w:szCs w:val="28"/>
        </w:rPr>
        <w:t>: редко приливы, отеки в области лодыжек, очень редко появление мышечных и суставных болей;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пожилых пациентов при длительной терапии в очень редких случаях геникомастия, котор</w:t>
      </w:r>
      <w:r>
        <w:rPr>
          <w:color w:val="000000"/>
          <w:sz w:val="28"/>
          <w:szCs w:val="28"/>
        </w:rPr>
        <w:t>ая проходит с отменой препарата.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Кардиогенный шок.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Острая фаза неосложненного инфаркта миокарда (с явлениями брадикардии, выраженной гипотонии, левожелудочковой недостаточности).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Синдром слабости синусового узла.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АВ блокада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степени.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Синдром Вольфа - Паркинсона - Уайта.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Артериальная гипотония, хроническая сердечная недостаточность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Б-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стадии, острая сердечная недостаточность.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Повышенная чувствительность к препарату.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Передозировка.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Симптомы: </w:t>
      </w:r>
      <w:r>
        <w:rPr>
          <w:color w:val="000000"/>
          <w:sz w:val="28"/>
          <w:szCs w:val="28"/>
        </w:rPr>
        <w:t>Незначительное падение ар</w:t>
      </w:r>
      <w:r>
        <w:rPr>
          <w:color w:val="000000"/>
          <w:sz w:val="28"/>
          <w:szCs w:val="28"/>
        </w:rPr>
        <w:t>териального давления, шоковая симптоматика, потеря сознания; А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блокада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 с частыми периодами Самойлова - Венкенбаха (с или без ритма А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узла), полная А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блокада с тотальной А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диссоциацией, А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ритм при выпадении функции синусового узла, асист</w:t>
      </w:r>
      <w:r>
        <w:rPr>
          <w:color w:val="000000"/>
          <w:sz w:val="28"/>
          <w:szCs w:val="28"/>
        </w:rPr>
        <w:t>олия, синусовая брадикардия, синоатриальная блокада.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Лечение: </w:t>
      </w:r>
      <w:r>
        <w:rPr>
          <w:color w:val="000000"/>
          <w:sz w:val="28"/>
          <w:szCs w:val="28"/>
        </w:rPr>
        <w:t>промывание желудка рекомендуется во всех случаях, когда прошло менее 12 часов с момента приема препарата, и в более поздние сроки при пониженной моторике желудочно-кишечного тракта (отсутствие к</w:t>
      </w:r>
      <w:r>
        <w:rPr>
          <w:color w:val="000000"/>
          <w:sz w:val="28"/>
          <w:szCs w:val="28"/>
        </w:rPr>
        <w:t>ишечных шумов при аускультации желудка). При подозрении на отравление верапамилом показаны индуцированная рвота, отсасывание желудочного и кишечного содержимого при эндоскопическом контроле, промывание желудка, очистительные клизмы.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специфическо</w:t>
      </w:r>
      <w:r>
        <w:rPr>
          <w:color w:val="000000"/>
          <w:sz w:val="28"/>
          <w:szCs w:val="28"/>
        </w:rPr>
        <w:t>го антидота может служить в/в введение 10 - 20 мл 10% раствора глюконата кальция (2,25 - 4,5 ммоль). В случае необходимости введение можно повторить или провести дополнительную капельную инфузию (со скоростью 5 ммоль/ч).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Лекарственное взаимодействие.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Верап</w:t>
      </w:r>
      <w:r>
        <w:rPr>
          <w:color w:val="000000"/>
          <w:sz w:val="28"/>
          <w:szCs w:val="28"/>
        </w:rPr>
        <w:t>амил можно с успехом комбинировать с бета-блокаторами, вазодилататорами, тиазидными диуретиками и ингибиторами АПФ при лечении гипертонии и стенокардии, при этом умеренно потенцируется эффект обоих препаратов.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одновременном применении верапамила и бета</w:t>
      </w:r>
      <w:r>
        <w:rPr>
          <w:color w:val="000000"/>
          <w:sz w:val="28"/>
          <w:szCs w:val="28"/>
        </w:rPr>
        <w:t>-адреноблокаторов, антиаритмических средств, ингаляционных анестетиков повышается риск возникновения брадикардии, АВ блокады, гипотонии, сердечной недостаточности. При одновременном применении верапамила и дигоксина отмечено повышение концентрации дигоксин</w:t>
      </w:r>
      <w:r>
        <w:rPr>
          <w:color w:val="000000"/>
          <w:sz w:val="28"/>
          <w:szCs w:val="28"/>
        </w:rPr>
        <w:t>а в плазме крови. В период лечения верапамилом нельзя вводить бета-адреноблокаторы в/в.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Верапамил усиливает эффекты циметидина и карбамазепина; снижает эффект фенобарбитала.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Особые указания.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осторожностью назначают препарат больным с нарушениями функции </w:t>
      </w:r>
      <w:r>
        <w:rPr>
          <w:color w:val="000000"/>
          <w:sz w:val="28"/>
          <w:szCs w:val="28"/>
        </w:rPr>
        <w:t>печени, при остром инфаркте миокарда. Применение верапамила у беременных и кормящих женщин показано лишь в тех случаях, когда ожидаемая польза превышает возможное негативное влияние на плод или ребенка.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НИФЕДИПИН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и форма выпуска.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и капсул</w:t>
      </w:r>
      <w:r>
        <w:rPr>
          <w:color w:val="000000"/>
          <w:sz w:val="28"/>
          <w:szCs w:val="28"/>
        </w:rPr>
        <w:t>ы 0,005 и 0,01г. Драже 0,01 г. Таблетки ретард 0,01 0,02 и 0,04 г. Раствор для инфузий 1 мл (0,01 г) в ампулах.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Фармакологическое 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Блокатор кальциевых каналов производное дигидропиридина. Коронарорасширяющее средство, вызывающее длительное увеличе</w:t>
      </w:r>
      <w:r>
        <w:rPr>
          <w:color w:val="000000"/>
          <w:sz w:val="28"/>
          <w:szCs w:val="28"/>
        </w:rPr>
        <w:t>ние коронарного кровотока; обладает гипотензивным спазмолитическим свойством. Купирует спазм и расширяет коронарные и периферические артерии. Снижает периферическое сопротивление, АД, и незначительно - сократимость миокарда, уменьшает постнагрузку и потреб</w:t>
      </w:r>
      <w:r>
        <w:rPr>
          <w:color w:val="000000"/>
          <w:sz w:val="28"/>
          <w:szCs w:val="28"/>
        </w:rPr>
        <w:t>ность миокарда в кислороде. Может вызвать рефлекторную тахикардию. Улучшает коронарный кровоток, постстенотическую циркуляцию. Практически не обладает антиаритмической активностью.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Фармакокинетика.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перорального приема быстро и почти полностью всасыва</w:t>
      </w:r>
      <w:r>
        <w:rPr>
          <w:color w:val="000000"/>
          <w:sz w:val="28"/>
          <w:szCs w:val="28"/>
        </w:rPr>
        <w:t>ется из ЖКТ. Концентрация в крови достигает максимального уровня через 1 - 3 часа после приема. Приблизительно 90 % препарата связана с белками плазмы крови. Метаболизируется печенью с образованием нескольких метаболитов, не обладающих фармакологической ак</w:t>
      </w:r>
      <w:r>
        <w:rPr>
          <w:color w:val="000000"/>
          <w:sz w:val="28"/>
          <w:szCs w:val="28"/>
        </w:rPr>
        <w:t>тивностью. Период полувыведения из плазмы - 2 - 4 часа.70 - 80 % препарата выводится с мочой в виде неактивных метаболитов, около15 % с калом.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Ишемическая болезнь сердца: для профилактики (в отдельных случаях купирования) приступов стенокардии</w:t>
      </w:r>
      <w:r>
        <w:rPr>
          <w:color w:val="000000"/>
          <w:sz w:val="28"/>
          <w:szCs w:val="28"/>
        </w:rPr>
        <w:t>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Артериальная гипертония различного генеза, гипертонический криз;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синдром Рейно;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хроническая сердечная недостаточность (в составе комбинированной терапии);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бронхообструктивный синдром (в сочетании с бронхолитиками, для поддерживающей терапии).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</w:t>
      </w:r>
      <w:r>
        <w:rPr>
          <w:color w:val="000000"/>
          <w:sz w:val="28"/>
          <w:szCs w:val="28"/>
        </w:rPr>
        <w:t>им дозирования.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При курсовой антиангинальной и гипотензивной терапии: </w:t>
      </w:r>
      <w:r>
        <w:rPr>
          <w:color w:val="000000"/>
          <w:sz w:val="28"/>
          <w:szCs w:val="28"/>
        </w:rPr>
        <w:t>назначают внутрь независимо от приема пищи), начиная с 0,01г. При необходимости дозу постепенно увеличивают до 0,02 г 3 - 4 раза в сутки. В последнее время появляются сообщения об осторо</w:t>
      </w:r>
      <w:r>
        <w:rPr>
          <w:color w:val="000000"/>
          <w:sz w:val="28"/>
          <w:szCs w:val="28"/>
        </w:rPr>
        <w:t>жном подходе к использованию нифедипина при ИБС из-за возможности возникновения тахикардии при их приеме и соответственно увеличения потребления миокардом кислорода. Поэтому их не рекомендуется применять в случаях появления признаков нестабильности стенока</w:t>
      </w:r>
      <w:r>
        <w:rPr>
          <w:color w:val="000000"/>
          <w:sz w:val="28"/>
          <w:szCs w:val="28"/>
        </w:rPr>
        <w:t>рдии, острого инфаркта миокарда, недостаточности кровообращения и, естественно, тахикардии. При этом препараты нифедипина короткого действия рекомендуется назначать в суточной дозе не более 40 мг непродолжительными курсами (3-4 нед).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Для купирования гиперт</w:t>
      </w:r>
      <w:r>
        <w:rPr>
          <w:i/>
          <w:iCs/>
          <w:color w:val="000000"/>
          <w:sz w:val="28"/>
          <w:szCs w:val="28"/>
        </w:rPr>
        <w:t xml:space="preserve">онического криза или приступа стенокардии: </w:t>
      </w:r>
      <w:r>
        <w:rPr>
          <w:color w:val="000000"/>
          <w:sz w:val="28"/>
          <w:szCs w:val="28"/>
        </w:rPr>
        <w:t xml:space="preserve">применяют сублингвально по 1 - 2 таблетки препарата разжевывают и помещают под язык, через некоторое время можно проглотить препарат. После приема препарата рекомендуется находиться в лежачем положении 30-60 мин. </w:t>
      </w:r>
      <w:r>
        <w:rPr>
          <w:color w:val="000000"/>
          <w:sz w:val="28"/>
          <w:szCs w:val="28"/>
        </w:rPr>
        <w:t>При гипотонии применяют в меньших дозах - по 0,01 г 3 раза в день под контролем АД. После достижения терапевтического эффекта больного переводят на поддерживающую дозу - по 0,01 г (10 мг) 3 раза в день.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Побочное 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 стороны сердечно-сосудистой сис</w:t>
      </w:r>
      <w:r>
        <w:rPr>
          <w:i/>
          <w:iCs/>
          <w:color w:val="000000"/>
          <w:sz w:val="28"/>
          <w:szCs w:val="28"/>
        </w:rPr>
        <w:t xml:space="preserve">темы: </w:t>
      </w:r>
      <w:r>
        <w:rPr>
          <w:color w:val="000000"/>
          <w:sz w:val="28"/>
          <w:szCs w:val="28"/>
        </w:rPr>
        <w:t>возможно возникновение выраженной артериальной гипотонии, периферические отеки, тахикардия, редко - усиление приступов стенокардии;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 стороны ЦНС: </w:t>
      </w:r>
      <w:r>
        <w:rPr>
          <w:color w:val="000000"/>
          <w:sz w:val="28"/>
          <w:szCs w:val="28"/>
        </w:rPr>
        <w:t>парестезии в конечностях, тремор, нарушение сна или сонливость;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 стороны ЖКТ: </w:t>
      </w:r>
      <w:r>
        <w:rPr>
          <w:color w:val="000000"/>
          <w:sz w:val="28"/>
          <w:szCs w:val="28"/>
        </w:rPr>
        <w:t>гипертрофический гинги</w:t>
      </w:r>
      <w:r>
        <w:rPr>
          <w:color w:val="000000"/>
          <w:sz w:val="28"/>
          <w:szCs w:val="28"/>
        </w:rPr>
        <w:t>вит, диарея, запоры, внутрипеченочный холестаз, повышение активности печеночных трансаминаз;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 стороны системы кроветворения: </w:t>
      </w:r>
      <w:r>
        <w:rPr>
          <w:color w:val="000000"/>
          <w:sz w:val="28"/>
          <w:szCs w:val="28"/>
        </w:rPr>
        <w:t>тромбоцитопения, лейкопения, редко анемия;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Прочие</w:t>
      </w:r>
      <w:r>
        <w:rPr>
          <w:color w:val="000000"/>
          <w:sz w:val="28"/>
          <w:szCs w:val="28"/>
        </w:rPr>
        <w:t>: гиперемия лица и кожи верхней части туловища, лихорадка, гипергидроз, миалгии,</w:t>
      </w:r>
      <w:r>
        <w:rPr>
          <w:color w:val="000000"/>
          <w:sz w:val="28"/>
          <w:szCs w:val="28"/>
        </w:rPr>
        <w:t xml:space="preserve"> геникомастия, снижение либидо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Отмечены единичные случаи аллергических реакций (кожный зуд, экзантема).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Кардиогенный шок;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нестабильная стенокардия, острый инфаркт миокарда;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Выраженная гипотония;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Выраженный аортальный стеноз, ИГСС;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Повышенная чувствительность к нифедипину;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Беременность (первый триместр).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Передозировка.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Симптомы: </w:t>
      </w:r>
      <w:r>
        <w:rPr>
          <w:color w:val="000000"/>
          <w:sz w:val="28"/>
          <w:szCs w:val="28"/>
        </w:rPr>
        <w:t>выраженная артериальная гипотония, головная боль, коллапс, тахикардия, угнетение деятельности синусового узла, брадикардия.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Лечение: </w:t>
      </w:r>
      <w:r>
        <w:rPr>
          <w:color w:val="000000"/>
          <w:sz w:val="28"/>
          <w:szCs w:val="28"/>
        </w:rPr>
        <w:t xml:space="preserve">промывание желудка </w:t>
      </w:r>
      <w:r>
        <w:rPr>
          <w:color w:val="000000"/>
          <w:sz w:val="28"/>
          <w:szCs w:val="28"/>
        </w:rPr>
        <w:t>с назначением активированного угля рекомендуется во всех случаях, когда прошло менее 12 часов с момента приема препарата. Однократно, а затем по показаниям рекомендуется в/в введение 10 - 20 мл 10% раствора глюконата кальция или хлорида кальция. При резкой</w:t>
      </w:r>
      <w:r>
        <w:rPr>
          <w:color w:val="000000"/>
          <w:sz w:val="28"/>
          <w:szCs w:val="28"/>
        </w:rPr>
        <w:t xml:space="preserve"> артериальной гипотонии показана в/в инфузия норадреналина, при развитии сердечной недостаточности - строфантина.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Лекарственное взаимодействие.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Комбинированное применение нифедипина и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color w:val="000000"/>
          <w:sz w:val="28"/>
          <w:szCs w:val="28"/>
        </w:rPr>
        <w:t>адреноблокаторов в большинстве клинических ситуаций эффективно и безоп</w:t>
      </w:r>
      <w:r>
        <w:rPr>
          <w:color w:val="000000"/>
          <w:sz w:val="28"/>
          <w:szCs w:val="28"/>
        </w:rPr>
        <w:t>асно, так как приводит к суммации антиангинального и антигипертензивного действия, однако возможно развитие выраженной гипотонии и сердечной недостаточности.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Рациональным с точки зрения усиления гипотензивного эффекта, считают сочетание нифедипина с клофел</w:t>
      </w:r>
      <w:r>
        <w:rPr>
          <w:color w:val="000000"/>
          <w:sz w:val="28"/>
          <w:szCs w:val="28"/>
        </w:rPr>
        <w:t>ином, допегитом, диуретиками, каптоприлом.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одновременном применении нифедипина и препаратов кальция его эффект уменьшается. Под влиянием нифедипина концентрация хинидина в плазме крови значительно снижается, что требует коррекции дозы.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ДИЛТИАЗЕМ (DIL</w:t>
      </w:r>
      <w:r>
        <w:rPr>
          <w:color w:val="000000"/>
          <w:sz w:val="28"/>
          <w:szCs w:val="28"/>
        </w:rPr>
        <w:t>TIAZEM)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выпуска.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по 0,03 и 0,06 г (30 и 60 мг); таблетки пролонгированного (длительного) действия (покрытые оболочкой) по 0,09 или 0,12 г (90 или 120 мг).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Фармакологическое 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Антагонист ионов кальция, применяемый при стенокардии (в т</w:t>
      </w:r>
      <w:r>
        <w:rPr>
          <w:color w:val="000000"/>
          <w:sz w:val="28"/>
          <w:szCs w:val="28"/>
        </w:rPr>
        <w:t xml:space="preserve">ом числе при стенокардии Принцметалла) и гипертензии. Оказывает отрицательное хронотропное действие (уменьшает частоту сердечных сокращений). Может замедлять атриовентрикулярную проводимость и понижать возбудимость атриовентрикулярного узла. Снижает тонус </w:t>
      </w:r>
      <w:r>
        <w:rPr>
          <w:color w:val="000000"/>
          <w:sz w:val="28"/>
          <w:szCs w:val="28"/>
        </w:rPr>
        <w:t>сосудов и общее периферическое сопротивление при гипертонической болезни. Антиангинальное действие связано с уменьшением преднагрузки (снижением конечнодиастолического давления за счет расширения периферических вен и уменьшения притока крови к правому пред</w:t>
      </w:r>
      <w:r>
        <w:rPr>
          <w:color w:val="000000"/>
          <w:sz w:val="28"/>
          <w:szCs w:val="28"/>
        </w:rPr>
        <w:t>сердию) на миокард, дилатацией коронарных сосудов и улучшением снабжения сердца кислородом. Обладает также антиаритмической активностью. Дилтиазем и его аналоги по основным клиническим характеристикам занимают промежуточное положение между верапамилом и ни</w:t>
      </w:r>
      <w:r>
        <w:rPr>
          <w:color w:val="000000"/>
          <w:sz w:val="28"/>
          <w:szCs w:val="28"/>
        </w:rPr>
        <w:t>федипином. По действию дилтиазем близок к верапамилу, но несколько сильнее действует на гладкие мышцы сосудов. Сравнительно с нифедипином менее выражены периферическое вазодилататорное действие и рефлекторная тахикардия.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Применяют при различных </w:t>
      </w:r>
      <w:r>
        <w:rPr>
          <w:color w:val="000000"/>
          <w:sz w:val="28"/>
          <w:szCs w:val="28"/>
        </w:rPr>
        <w:t>формах ишемической болезни сердца и гипертонической болезни.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дозирования.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Назначают дилтиазем внутрь. Дозы подбирают индивидуально от 0,03 г (30 мг) 3-4 раза в день до 0,18-0,3 г (180-300 мг) в сутки. Таблетки пролонгированного (длительного) действия</w:t>
      </w:r>
      <w:r>
        <w:rPr>
          <w:color w:val="000000"/>
          <w:sz w:val="28"/>
          <w:szCs w:val="28"/>
        </w:rPr>
        <w:t xml:space="preserve"> назначают по 1 таблетке (иногда по 2 таблетки) 1-2 раза в день.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Побочное 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Нарушение функции желудочно-кишечного тракта, головная боль, головокружение, повышенная утомляемость, атриовентрикулярная блокада, отеки нижних конечностей, приливы крови</w:t>
      </w:r>
      <w:r>
        <w:rPr>
          <w:color w:val="000000"/>
          <w:sz w:val="28"/>
          <w:szCs w:val="28"/>
        </w:rPr>
        <w:t xml:space="preserve"> к лицу. Препарат обычно хорошо переносится, но необходим контроль за эффективностью и переносимостью. При недостаточном эффекте добавляют другие препараты.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Гипотония;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синдром слабости синусового узла;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атриовентрикулярная блокада</w:t>
      </w:r>
      <w:r>
        <w:rPr>
          <w:color w:val="000000"/>
          <w:sz w:val="28"/>
          <w:szCs w:val="28"/>
        </w:rPr>
        <w:t xml:space="preserve"> II и III степени;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беременность, период лактации.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Предостережение.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Дилтиазем следует назначать с осторожностью при брадикардии, сердечной недостаточности и кардиогенном шоке. Несовместим с </w:t>
      </w:r>
      <w:r>
        <w:rPr>
          <w:rFonts w:ascii="Times New Roman" w:hAnsi="Times New Roman" w:cs="Times New Roman"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</w:rPr>
        <w:t>-адреноблокаторами, усиливает действие гипотензивных препаратов.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НОРВАСК (NORVASC).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и форма выпуска.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по 5 мг и 10 мг амлодипина бесилата.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Фармакологическое 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Блокирует поступление ионов кальция через мембраны в гладкомышечные клетки миокарда и сосудов. Уменьшает ишемию за счет расширения периф</w:t>
      </w:r>
      <w:r>
        <w:rPr>
          <w:color w:val="000000"/>
          <w:sz w:val="28"/>
          <w:szCs w:val="28"/>
        </w:rPr>
        <w:t>ерических артериол и главных коронарных артерий и коронарных артериол. Блокатор кальциевых каналов, относящийся к группе дигидропиридинов. Предполагается, что антиангинальный эффект амлодипина обусловлен его способностью расширять периферические артериолы,</w:t>
      </w:r>
      <w:r>
        <w:rPr>
          <w:color w:val="000000"/>
          <w:sz w:val="28"/>
          <w:szCs w:val="28"/>
        </w:rPr>
        <w:t xml:space="preserve"> что приводит к уменьшению общего периферического сопротивления (постнагрузка), рефлекторная тахикардия при этом не возникает. В результате происходит снижение потребности миокарда в кислороде и потребление им энергии. С другой стороны, амлодипин, по-видим</w:t>
      </w:r>
      <w:r>
        <w:rPr>
          <w:color w:val="000000"/>
          <w:sz w:val="28"/>
          <w:szCs w:val="28"/>
        </w:rPr>
        <w:t>ому, вызывает расширение коронарных артерий крупного калибра и коронарных артериол как интактных, так и ишемизированных участков миокарда. Это обеспечивает поступление кислорода к миокарду при спазмах коронарных артерий.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Фармакокинетика.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перорального</w:t>
      </w:r>
      <w:r>
        <w:rPr>
          <w:color w:val="000000"/>
          <w:sz w:val="28"/>
          <w:szCs w:val="28"/>
        </w:rPr>
        <w:t xml:space="preserve"> приема его концентрация в крови достигает максимального уровня через 6 - 12 часов после приема. Приблизительно 97,5 % препарата связана с белками плазмы крови. Равновесная концентрация в плазме достигается через 7 - 8 дней приема препарата в постоянной до</w:t>
      </w:r>
      <w:r>
        <w:rPr>
          <w:color w:val="000000"/>
          <w:sz w:val="28"/>
          <w:szCs w:val="28"/>
        </w:rPr>
        <w:t>зе. Амлодипин метаболизируется печенью. Период полувыведения из плазмы - 35 - 50 часов, что позволяет принимать препарат один раз в сутки. Выводится с мочой как в неизмененном виде (10 %), так и в виде метаболитов (60 %).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Артериальная гипертен</w:t>
      </w:r>
      <w:r>
        <w:rPr>
          <w:color w:val="000000"/>
          <w:sz w:val="28"/>
          <w:szCs w:val="28"/>
        </w:rPr>
        <w:t>зия, монотерапия, а также в комбинации с тиазидными диуретиками, альфа-блокаторами, бета-адреноблокаторами или ингибиторами ангиотензин-превращающего фермента. Препарат можно назначать как средство монотерапии или в комбинации с другими антиангинальными ср</w:t>
      </w:r>
      <w:r>
        <w:rPr>
          <w:color w:val="000000"/>
          <w:sz w:val="28"/>
          <w:szCs w:val="28"/>
        </w:rPr>
        <w:t>едствами больным, рефрактерным к лечению нитратами или бета-адреноблокатарами в аналогичных дозах.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ИБС. Показан для лечения как стенокардии напряжения, так и вариантной стенокардии (стенокардии Принцметалла).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дозирования.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артериальной гипертенз</w:t>
      </w:r>
      <w:r>
        <w:rPr>
          <w:color w:val="000000"/>
          <w:sz w:val="28"/>
          <w:szCs w:val="28"/>
        </w:rPr>
        <w:t>ии и стенокардии обычно начальная доза препарата составляет 5 мг 1 раз в сутки. В зависимости от индивидуальной реакции больного, дозу можно увеличить до максимальной - 10 мг. При комбинации с другими препаратами коррекции дозы не требуется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Побочное действ</w:t>
      </w:r>
      <w:r>
        <w:rPr>
          <w:color w:val="000000"/>
          <w:sz w:val="28"/>
          <w:szCs w:val="28"/>
        </w:rPr>
        <w:t>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Возможны: головные боли, отеки, усталость, сонливость, тошнота, боли в животе, приливы, сердцебиение и головокружение. Реже - кожный зуд, сыпь, одышка, астения, судороги мышц, диспепсия, гиперплазия десен, многоформная эритема. Крайне редко отмечается </w:t>
      </w:r>
      <w:r>
        <w:rPr>
          <w:color w:val="000000"/>
          <w:sz w:val="28"/>
          <w:szCs w:val="28"/>
        </w:rPr>
        <w:t>появление желтухи или изменение уровня печеночных ферментов.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Предостережения.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больных с нарушенной функцией печени период полувыведения норваска увеличивается, препарат применяют с осторожностью. Препарат не оказывает влияния на обмен веществ и липиды пл</w:t>
      </w:r>
      <w:r>
        <w:rPr>
          <w:color w:val="000000"/>
          <w:sz w:val="28"/>
          <w:szCs w:val="28"/>
        </w:rPr>
        <w:t>азмы крови, в связи с чем может быть назначен больным, страдающим бронхиальной астмой, сахарным диабетом и подагрой. Беременным и в период лактации Норваск назначают случаях по жизненно важным показаниям. Безопасность применения амлодипина в периоды береме</w:t>
      </w:r>
      <w:r>
        <w:rPr>
          <w:color w:val="000000"/>
          <w:sz w:val="28"/>
          <w:szCs w:val="28"/>
        </w:rPr>
        <w:t>нности и кормления грудью не установлена. Применение в период беременности возможно только в тех случаях, когда предполагаемая польза для матери по мнению врача преобладает над потенциальным риском для плода. Данные о применении у детей отсутствуют.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</w:t>
      </w:r>
      <w:r>
        <w:rPr>
          <w:color w:val="000000"/>
          <w:sz w:val="28"/>
          <w:szCs w:val="28"/>
        </w:rPr>
        <w:t>твенное взаимодействие.</w:t>
      </w:r>
    </w:p>
    <w:p w:rsidR="00000000" w:rsidRDefault="00ED16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Норваск возможно сочетать с приемом тиазидных диуретиков, альфа-блокаторов, ингибиторов ангиотензин - превращающего фермента, длительно действующих нитратов, нитроглицерина (сублингвально), нестероидных противовоспалительных средств</w:t>
      </w:r>
      <w:r>
        <w:rPr>
          <w:color w:val="000000"/>
          <w:sz w:val="28"/>
          <w:szCs w:val="28"/>
        </w:rPr>
        <w:t>, антибиотиков, пероральных гипогликемизирующих препаратов, дигоксина, циметидина, циклоспорина.</w:t>
      </w:r>
    </w:p>
    <w:p w:rsidR="00000000" w:rsidRDefault="00ED16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  <w:t>Литература</w:t>
      </w:r>
    </w:p>
    <w:p w:rsidR="00000000" w:rsidRDefault="00ED167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D167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В.И. Метелица "Справочник кардиолога по клинической фармакологии." М. "Медицина" 1987 г.</w:t>
      </w:r>
    </w:p>
    <w:p w:rsidR="00000000" w:rsidRDefault="00ED16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Справочник Видаль. Лекарственные препараты в России</w:t>
      </w:r>
      <w:r>
        <w:rPr>
          <w:sz w:val="28"/>
          <w:szCs w:val="28"/>
        </w:rPr>
        <w:t>. "АстраФарм Сервис" 1999 г.</w:t>
      </w:r>
    </w:p>
    <w:p w:rsidR="00000000" w:rsidRDefault="00ED16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Н.М. Курбат, П.Б. Станкевич "Фармако-рецептурный справочник врача" Минск "Вышейшая школа" 1999 г.</w:t>
      </w:r>
    </w:p>
    <w:p w:rsidR="00ED1676" w:rsidRDefault="00ED16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А.А. Дзизинский "Стенокардия: диагностика и лечение" Иркутск 1992 г.</w:t>
      </w:r>
    </w:p>
    <w:sectPr w:rsidR="00ED16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B9"/>
    <w:rsid w:val="00ED1676"/>
    <w:rsid w:val="00FA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4843</Words>
  <Characters>27610</Characters>
  <Application>Microsoft Office Word</Application>
  <DocSecurity>0</DocSecurity>
  <Lines>230</Lines>
  <Paragraphs>64</Paragraphs>
  <ScaleCrop>false</ScaleCrop>
  <Company/>
  <LinksUpToDate>false</LinksUpToDate>
  <CharactersWithSpaces>32389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2024-03-08T11:14:00Z</dcterms:created>
  <dcterms:modified xsi:type="dcterms:W3CDTF">2024-03-08T11:14:00Z</dcterms:modified>
</cp:coreProperties>
</file>