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D3C" w:rsidRPr="00E86117" w:rsidRDefault="00E60D3C" w:rsidP="00E60D3C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Аппендицит. Этиология. Классификация. Клиника.</w:t>
      </w:r>
    </w:p>
    <w:p w:rsidR="00E60D3C" w:rsidRPr="00E86117" w:rsidRDefault="00E60D3C" w:rsidP="00E60D3C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 xml:space="preserve">Этиология и патогенез.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Рассматриваются различные теории этиологии и патогенеза: застоя, глистной инвазии, инфекционная, ангионевротическая, иммунологическая, аллергическая и др.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Однако основным фактором развития заболевания является инфекционный. Реализация его патогенного влияния может произойти лишь при наличии способствующих местных факторов, которыми являются: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-обструкция просвета червеобразного отростка, вызывающая застой</w:t>
      </w:r>
      <w:r>
        <w:t xml:space="preserve"> </w:t>
      </w:r>
      <w:r w:rsidRPr="007579E3">
        <w:t>содержимого или образования замкнутой полости. Эти состояния могут быть обусловлены-копролитами, лимфоидной гипертрофией, инородными телами, гельминтами, слизистыми пробками, деформациями отростка;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сосудистые нарушения, приводящие к развитию сосудистого застоя, тромбоза сосудов, появлению сегментарных некрозов;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- нейрогенные нарушения, сопровождающиеся усилением перистальтики, перерастяжением отростка, нарушением микроциркуляции.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Существуют также общие факторы, способствующие развитию острого аппендицита: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алиментарный фактор;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существование в организме очага инфекции с ее гематогенным распространением;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состояния иммунодефицита;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аллергизация организма.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Классификация.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Классификация(по В.И.Колесову)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I.Острый аппендицит.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1.Поверхностный(простой) аппендицит.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2.Деструктивный аппендицит: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а) флегмонозный (с перфорацией, без перфорации);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б) гангренозный (с перфорацией, без перфорации).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3. Аппендицит,осложненный - аппендикулярный инфильтрат, распространенный или тотальный перитонит, абсцессы брюшной полости, пилефлебит, абсцессы печени, сепсис.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II. Хронический аппендицит.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1.Первично хронический;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2.Хронический рецидивирующий;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3.Резидуальный.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Клиническая картина.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Заболевание начинается внезапно среди полного здоровья.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1.Боли - в 100% случаев, обычно средней интенсивности, иногда резкие, постоянные, реже периодически усиливающиеся, но терпимые (в отличие от колики). Часто отдают в ногу, усиливаются при движениях, кашле. Начинаются иногда сразу в правой подвздошной области, чаще в эпигастрии или по всему животу, у детей - в области пупка, и лишь спустя несколько часов локализуются в правой подвздошной области - симптом Кохера-Волковича. </w:t>
      </w:r>
      <w:r w:rsidRPr="007579E3">
        <w:lastRenderedPageBreak/>
        <w:t xml:space="preserve">Однако при пальпации часто уже в первые часы болезненность определяется и в области отростка . Боли уменьшаются при положении больного на правом боку в связи с чем он чаще так и лежит. Это имеет диагностическое значение, особенно у детей. При атипичном расположении отростка локализации болей меняется соответственно;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2.Тошнота (41%) и рвота (в 42% случаев однократная) наблюдается в половине случаев, не приносит облегчения.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3.Стул может быть задержан (10%), учащен (2%) - обычно при медиальном расположении отростка, чаще не нарушен.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4. Мочеиспускание - нормальное, может быть учащено при тазовом расположении. В моче в тяжелых случаях отмечается белок, эритроциты.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5.Пульс учащен, раньше повышения температуры.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6.Температура - субфебрильная, изредка высокая, иногда с ознобом.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7.Язык обложен белым налетом - в тяжелых случаях сух. При осмотре языка одномоментно обязателен осмотр миндалин для исключения ангины.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8.В анамнезе - аналогичные приступы. Обязателен гинекологический анамнез.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9.Местные изменения - со стороны живота: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А) Живот вначале участвует в дыхании, затем может отставать правая нижняя часть его, может быть уплощен, асимметрия пупка за счет смещения его вправо как результат напряжения мышц.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Б) Активные движения, покашливание, поднятие головы вызывают болезненность в правой подвздошной области.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В) Локальная болезненность и защитное напряжение мышц в правой подвздошной области - самый главный признак (мало выражен у стариков, ослабленных людей).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Г) Перитонеальные симптомы: Щеткина-Блюмберга, Менделя (72%) - в правой подвздошной области.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Д) Гиперестезия кожи в правой подвздошной области.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Е) При перкуссии - притупление в правой подвздошной области при наличии выпота, инфильтрата.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Ж) При аускультации - ослабление перистальтики.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10.Специальные симптомы острого аппендицита: симптом Ровзинга, симптом Воскресенского (скольжения, "рубашки"), симптом Ситковского,</w:t>
      </w:r>
      <w:r>
        <w:t xml:space="preserve"> </w:t>
      </w:r>
      <w:r w:rsidRPr="007579E3">
        <w:t>симптом Бартомъе-Михельсона,</w:t>
      </w:r>
      <w:r>
        <w:t xml:space="preserve"> </w:t>
      </w:r>
      <w:r w:rsidRPr="007579E3">
        <w:t xml:space="preserve">симптом Образцова (псоас), при ретроцекальиом расположении- симптом Ауре-Розанова (при ретроцекальиом расположении отростка).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11.Вагинальное или ректальное исследование - строго обязательно! Выявляется воспаление тазовой брюшины - "крик Дугласа", болезненное нависание свода справа. Для дифференциальной диагностики с гинекологической патологией - симптом Промптова (резкая боль при поднятии шейки матки вверх). Симптом Краузе - разница между ректальной и подмышечной температурой более одного градуса.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12. Лабораторные исследования: крови - лейкоцитоз со сдвигом влево, мочи - чаще без особенностей, обзорная урография и хромоцистоскопия - по показаниям.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13.УЗИ - увеличение размеров отростка, утолщение стенки, наличие выпота.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14.Лапароскопия - при неясности в диагнозе.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lastRenderedPageBreak/>
        <w:t xml:space="preserve">15.При атипичном расположении отростка картина заболевания может в значительной мере изменяться - по выражению П.И. Грекова острый аппендицит - "хамелеоноподобное заболевание".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Лечение.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Острый аппендицит является абсолютным показанием к неотложной операции. Единственным противопоказанием служит аппендикулярный инфильтрат (если он не абсцедировал). При неясности в диагнозе шире должна применяться лапароскопия. Лучшим временем для операции является начальная стадия, но операция производится в любые сроки.</w:t>
      </w:r>
    </w:p>
    <w:p w:rsidR="00E60D3C" w:rsidRPr="00E86117" w:rsidRDefault="00E60D3C" w:rsidP="00E60D3C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Список литературы</w:t>
      </w:r>
    </w:p>
    <w:p w:rsidR="00E60D3C" w:rsidRPr="00E60D3C" w:rsidRDefault="00E60D3C" w:rsidP="00E60D3C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E60D3C" w:rsidRDefault="00E60D3C"/>
    <w:sectPr w:rsidR="00E60D3C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3C"/>
    <w:rsid w:val="001825E3"/>
    <w:rsid w:val="003E2EE0"/>
    <w:rsid w:val="007579E3"/>
    <w:rsid w:val="00E60D3C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EA7DD3-EAA8-46A9-8918-EF991DA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0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>Home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Аппендицит</dc:title>
  <dc:subject/>
  <dc:creator>Alena</dc:creator>
  <cp:keywords/>
  <dc:description/>
  <cp:lastModifiedBy>Igor</cp:lastModifiedBy>
  <cp:revision>3</cp:revision>
  <dcterms:created xsi:type="dcterms:W3CDTF">2024-10-08T16:40:00Z</dcterms:created>
  <dcterms:modified xsi:type="dcterms:W3CDTF">2024-10-08T16:40:00Z</dcterms:modified>
</cp:coreProperties>
</file>