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C9" w:rsidRDefault="00684CC9">
      <w:pPr>
        <w:ind w:left="284" w:firstLine="709"/>
        <w:jc w:val="both"/>
        <w:outlineLvl w:val="0"/>
      </w:pPr>
      <w:bookmarkStart w:id="0" w:name="_GoBack"/>
      <w:bookmarkEnd w:id="0"/>
      <w:r>
        <w:rPr>
          <w:b/>
          <w:sz w:val="26"/>
        </w:rPr>
        <w:t>Ф.И.О</w:t>
      </w:r>
      <w:r>
        <w:rPr>
          <w:bCs/>
          <w:sz w:val="26"/>
        </w:rPr>
        <w:t xml:space="preserve">.: </w:t>
      </w:r>
      <w:r w:rsidR="001A6216">
        <w:rPr>
          <w:bCs/>
          <w:sz w:val="26"/>
        </w:rPr>
        <w:t>_________</w:t>
      </w:r>
      <w:r>
        <w:rPr>
          <w:sz w:val="26"/>
        </w:rPr>
        <w:t xml:space="preserve"> </w:t>
      </w:r>
    </w:p>
    <w:p w:rsidR="00684CC9" w:rsidRDefault="00684CC9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 xml:space="preserve">Возраст: </w:t>
      </w:r>
      <w:r>
        <w:rPr>
          <w:bCs/>
        </w:rPr>
        <w:t>66 лет.</w:t>
      </w:r>
    </w:p>
    <w:p w:rsidR="00684CC9" w:rsidRDefault="00684CC9">
      <w:pPr>
        <w:ind w:left="284" w:firstLine="709"/>
        <w:jc w:val="both"/>
        <w:outlineLvl w:val="0"/>
        <w:rPr>
          <w:sz w:val="26"/>
        </w:rPr>
      </w:pPr>
      <w:r>
        <w:rPr>
          <w:b/>
          <w:bCs/>
          <w:sz w:val="26"/>
        </w:rPr>
        <w:t>Профессия</w:t>
      </w:r>
      <w:r>
        <w:rPr>
          <w:sz w:val="26"/>
        </w:rPr>
        <w:t>: пенсионер.</w:t>
      </w:r>
    </w:p>
    <w:p w:rsidR="00684CC9" w:rsidRDefault="00684CC9">
      <w:pPr>
        <w:ind w:left="284" w:firstLine="709"/>
        <w:jc w:val="both"/>
        <w:rPr>
          <w:bCs/>
        </w:rPr>
      </w:pPr>
      <w:r>
        <w:rPr>
          <w:b/>
          <w:bCs/>
          <w:sz w:val="26"/>
        </w:rPr>
        <w:t>Дата поступления в клинику</w:t>
      </w:r>
      <w:r>
        <w:rPr>
          <w:b/>
          <w:bCs/>
        </w:rPr>
        <w:t>:</w:t>
      </w:r>
      <w:r>
        <w:rPr>
          <w:b/>
        </w:rPr>
        <w:t xml:space="preserve"> </w:t>
      </w:r>
      <w:r>
        <w:rPr>
          <w:bCs/>
        </w:rPr>
        <w:t>09.11.04.</w:t>
      </w:r>
    </w:p>
    <w:p w:rsidR="00684CC9" w:rsidRDefault="00684CC9">
      <w:pPr>
        <w:ind w:left="284" w:firstLine="709"/>
        <w:jc w:val="both"/>
        <w:outlineLvl w:val="0"/>
        <w:rPr>
          <w:bCs/>
          <w:sz w:val="26"/>
        </w:rPr>
      </w:pPr>
      <w:r>
        <w:rPr>
          <w:b/>
          <w:sz w:val="26"/>
        </w:rPr>
        <w:t>Направившее учреждение:</w:t>
      </w:r>
      <w:r>
        <w:rPr>
          <w:bCs/>
          <w:sz w:val="26"/>
        </w:rPr>
        <w:t xml:space="preserve"> поликлиника № 24.</w:t>
      </w:r>
    </w:p>
    <w:p w:rsidR="00684CC9" w:rsidRDefault="00684CC9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№ истории болезни:</w:t>
      </w:r>
      <w:r>
        <w:rPr>
          <w:bCs/>
        </w:rPr>
        <w:t xml:space="preserve"> 04/16886</w:t>
      </w:r>
    </w:p>
    <w:p w:rsidR="00684CC9" w:rsidRDefault="00684CC9">
      <w:pPr>
        <w:ind w:left="284" w:firstLine="709"/>
        <w:jc w:val="both"/>
        <w:outlineLvl w:val="0"/>
        <w:rPr>
          <w:bCs/>
        </w:rPr>
      </w:pPr>
      <w:r>
        <w:rPr>
          <w:b/>
          <w:sz w:val="26"/>
        </w:rPr>
        <w:t>№ отделения:</w:t>
      </w:r>
      <w:r>
        <w:rPr>
          <w:bCs/>
        </w:rPr>
        <w:t xml:space="preserve"> 11-ое терапевтическое отделение</w:t>
      </w:r>
    </w:p>
    <w:p w:rsidR="00684CC9" w:rsidRDefault="00684CC9">
      <w:pPr>
        <w:ind w:left="284" w:firstLine="709"/>
        <w:jc w:val="both"/>
        <w:outlineLvl w:val="0"/>
        <w:rPr>
          <w:bCs/>
          <w:lang w:val="en-US"/>
        </w:rPr>
      </w:pPr>
      <w:r>
        <w:rPr>
          <w:b/>
          <w:sz w:val="26"/>
        </w:rPr>
        <w:t>№ палаты:</w:t>
      </w:r>
      <w:r>
        <w:rPr>
          <w:bCs/>
        </w:rPr>
        <w:t xml:space="preserve"> 607</w:t>
      </w:r>
    </w:p>
    <w:p w:rsidR="00684CC9" w:rsidRDefault="00684CC9">
      <w:pPr>
        <w:ind w:left="284" w:firstLine="709"/>
        <w:jc w:val="both"/>
        <w:outlineLvl w:val="0"/>
        <w:rPr>
          <w:bCs/>
          <w:lang w:val="en-US"/>
        </w:rPr>
      </w:pPr>
    </w:p>
    <w:p w:rsidR="00684CC9" w:rsidRDefault="00684CC9">
      <w:pPr>
        <w:ind w:left="284" w:firstLine="709"/>
        <w:jc w:val="both"/>
        <w:outlineLvl w:val="0"/>
        <w:rPr>
          <w:bCs/>
          <w:lang w:val="en-US"/>
        </w:rPr>
      </w:pPr>
    </w:p>
    <w:p w:rsidR="00684CC9" w:rsidRDefault="00684CC9">
      <w:pPr>
        <w:ind w:left="284" w:firstLine="709"/>
        <w:jc w:val="center"/>
        <w:outlineLvl w:val="0"/>
        <w:rPr>
          <w:bCs/>
          <w:sz w:val="32"/>
        </w:rPr>
      </w:pPr>
      <w:smartTag w:uri="urn:schemas-microsoft-com:office:smarttags" w:element="place">
        <w:r>
          <w:rPr>
            <w:b/>
            <w:sz w:val="32"/>
            <w:lang w:val="en-US"/>
          </w:rPr>
          <w:t>I</w:t>
        </w:r>
        <w:r>
          <w:rPr>
            <w:b/>
            <w:sz w:val="32"/>
          </w:rPr>
          <w:t>.</w:t>
        </w:r>
      </w:smartTag>
      <w:r>
        <w:rPr>
          <w:b/>
          <w:sz w:val="32"/>
        </w:rPr>
        <w:t xml:space="preserve"> АНАМНЕЗ</w:t>
      </w:r>
    </w:p>
    <w:p w:rsidR="00684CC9" w:rsidRDefault="00684CC9">
      <w:pPr>
        <w:ind w:left="284" w:firstLine="709"/>
        <w:jc w:val="center"/>
        <w:outlineLvl w:val="0"/>
        <w:rPr>
          <w:bCs/>
        </w:rPr>
      </w:pPr>
    </w:p>
    <w:p w:rsidR="00684CC9" w:rsidRDefault="00684CC9">
      <w:pPr>
        <w:ind w:left="993"/>
        <w:jc w:val="center"/>
        <w:outlineLvl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Жалобы:</w:t>
      </w:r>
    </w:p>
    <w:p w:rsidR="00684CC9" w:rsidRDefault="00684CC9">
      <w:pPr>
        <w:pStyle w:val="20"/>
        <w:numPr>
          <w:ilvl w:val="0"/>
          <w:numId w:val="10"/>
        </w:numPr>
      </w:pPr>
      <w:r>
        <w:t>На боли в области сердца, носящие давящий характер, не связанные с физической нагрузкой, к</w:t>
      </w:r>
      <w:r>
        <w:t>у</w:t>
      </w:r>
      <w:r>
        <w:t>пирующиеся после приема 1-2 таблеток нитроглицерина в течение 1-5 минут.</w:t>
      </w:r>
    </w:p>
    <w:p w:rsidR="00684CC9" w:rsidRDefault="00684CC9">
      <w:pPr>
        <w:pStyle w:val="20"/>
        <w:numPr>
          <w:ilvl w:val="0"/>
          <w:numId w:val="10"/>
        </w:numPr>
      </w:pPr>
      <w:r>
        <w:t>Головные боли, сопровождающиеся головокружением, тошнотой, мельканием «мушек» перед глазами.</w:t>
      </w:r>
    </w:p>
    <w:p w:rsidR="00684CC9" w:rsidRDefault="00684CC9">
      <w:pPr>
        <w:ind w:left="284" w:firstLine="709"/>
        <w:jc w:val="center"/>
        <w:outlineLvl w:val="0"/>
        <w:rPr>
          <w:b/>
          <w:sz w:val="16"/>
        </w:rPr>
      </w:pPr>
    </w:p>
    <w:p w:rsidR="00684CC9" w:rsidRDefault="00684CC9">
      <w:pPr>
        <w:ind w:left="284" w:firstLine="709"/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История настоящего заболевания (Anamnesis morbi)</w:t>
      </w:r>
    </w:p>
    <w:p w:rsidR="00684CC9" w:rsidRDefault="00684CC9">
      <w:pPr>
        <w:tabs>
          <w:tab w:val="center" w:pos="-426"/>
        </w:tabs>
        <w:ind w:left="284" w:firstLine="709"/>
        <w:jc w:val="both"/>
      </w:pPr>
      <w:r>
        <w:t>Страдает гипертонической болезнью с 1987 года. Периодически отмечались ре</w:t>
      </w:r>
      <w:r>
        <w:t>з</w:t>
      </w:r>
      <w:r>
        <w:t>кие подъемы АД до 180/100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т. ст. </w:t>
      </w:r>
    </w:p>
    <w:p w:rsidR="00684CC9" w:rsidRDefault="00684CC9">
      <w:pPr>
        <w:tabs>
          <w:tab w:val="center" w:pos="-426"/>
        </w:tabs>
        <w:ind w:left="284" w:firstLine="709"/>
        <w:jc w:val="both"/>
      </w:pPr>
      <w:r>
        <w:t>Около 1 года беспокоят боли давящего характера в левой половине грудной клетки, не связа</w:t>
      </w:r>
      <w:r>
        <w:t>н</w:t>
      </w:r>
      <w:r>
        <w:t xml:space="preserve">ные с физической нагрузкой, приступы сердцебиения. Болевые приступы купировались </w:t>
      </w:r>
      <w:r>
        <w:rPr>
          <w:u w:val="single"/>
        </w:rPr>
        <w:t>нитроглиц</w:t>
      </w:r>
      <w:r>
        <w:rPr>
          <w:u w:val="single"/>
        </w:rPr>
        <w:t>е</w:t>
      </w:r>
      <w:r>
        <w:rPr>
          <w:u w:val="single"/>
        </w:rPr>
        <w:t>рином</w:t>
      </w:r>
      <w:r>
        <w:t xml:space="preserve">. </w:t>
      </w:r>
      <w:proofErr w:type="gramStart"/>
      <w:r>
        <w:t>В настоящее время находится в ГКБ № 23 (госпитализирована в плановом порядке) для по</w:t>
      </w:r>
      <w:r>
        <w:t>д</w:t>
      </w:r>
      <w:r>
        <w:t xml:space="preserve">бора  и коррекции медикаментозной терапии. </w:t>
      </w:r>
      <w:proofErr w:type="gramEnd"/>
    </w:p>
    <w:p w:rsidR="00684CC9" w:rsidRDefault="00684CC9">
      <w:pPr>
        <w:tabs>
          <w:tab w:val="center" w:pos="-426"/>
        </w:tabs>
        <w:ind w:left="284" w:firstLine="709"/>
        <w:jc w:val="both"/>
      </w:pPr>
    </w:p>
    <w:p w:rsidR="00684CC9" w:rsidRDefault="00684CC9">
      <w:pPr>
        <w:pStyle w:val="a3"/>
        <w:ind w:left="284" w:firstLine="709"/>
        <w:jc w:val="both"/>
        <w:outlineLvl w:val="0"/>
        <w:rPr>
          <w:b/>
          <w:bCs/>
          <w:sz w:val="8"/>
        </w:rPr>
      </w:pPr>
    </w:p>
    <w:p w:rsidR="00684CC9" w:rsidRDefault="00684CC9">
      <w:pPr>
        <w:pStyle w:val="a3"/>
        <w:ind w:left="284" w:firstLine="709"/>
        <w:jc w:val="center"/>
        <w:outlineLvl w:val="0"/>
        <w:rPr>
          <w:b/>
          <w:bCs/>
          <w:sz w:val="25"/>
        </w:rPr>
      </w:pPr>
      <w:r>
        <w:rPr>
          <w:b/>
          <w:bCs/>
          <w:sz w:val="25"/>
        </w:rPr>
        <w:t>Фармакологический анамнез: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5"/>
        </w:rPr>
      </w:pPr>
      <w:proofErr w:type="gramStart"/>
      <w:r>
        <w:rPr>
          <w:sz w:val="25"/>
        </w:rPr>
        <w:t>Последние</w:t>
      </w:r>
      <w:proofErr w:type="gramEnd"/>
      <w:r>
        <w:rPr>
          <w:sz w:val="25"/>
        </w:rPr>
        <w:t xml:space="preserve"> 2 года принимает Арифон по 1 таблетке 1 раз в день. Ранее принимала Адел</w:t>
      </w:r>
      <w:r>
        <w:rPr>
          <w:sz w:val="25"/>
        </w:rPr>
        <w:t>ь</w:t>
      </w:r>
      <w:r>
        <w:rPr>
          <w:sz w:val="25"/>
        </w:rPr>
        <w:t>фан (дозу не помнит), но значительного улучшения самочувствия не н</w:t>
      </w:r>
      <w:r>
        <w:rPr>
          <w:sz w:val="25"/>
        </w:rPr>
        <w:t>а</w:t>
      </w:r>
      <w:r>
        <w:rPr>
          <w:sz w:val="25"/>
        </w:rPr>
        <w:t>блюдалось. С тех пор как стала принимать Арифон, состояние улучшилось, хотя по-прежнему наблюдаются периодич</w:t>
      </w:r>
      <w:r>
        <w:rPr>
          <w:sz w:val="25"/>
        </w:rPr>
        <w:t>е</w:t>
      </w:r>
      <w:r>
        <w:rPr>
          <w:sz w:val="25"/>
        </w:rPr>
        <w:t>ские подъемы АД до 180/100 мм</w:t>
      </w:r>
      <w:proofErr w:type="gramStart"/>
      <w:r>
        <w:rPr>
          <w:sz w:val="25"/>
        </w:rPr>
        <w:t>.р</w:t>
      </w:r>
      <w:proofErr w:type="gramEnd"/>
      <w:r>
        <w:rPr>
          <w:sz w:val="25"/>
        </w:rPr>
        <w:t>т.ст.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5"/>
        </w:rPr>
        <w:t>Во время приступов стенокардии принимала нитроглицерин по 1-2 таблетки по язык. Пр</w:t>
      </w:r>
      <w:r>
        <w:rPr>
          <w:sz w:val="25"/>
        </w:rPr>
        <w:t>и</w:t>
      </w:r>
      <w:r>
        <w:rPr>
          <w:sz w:val="25"/>
        </w:rPr>
        <w:t>ступ купировался в течение 1-5 минут, но в связи с применением нитроглицерина пациентка о</w:t>
      </w:r>
      <w:r>
        <w:rPr>
          <w:sz w:val="25"/>
        </w:rPr>
        <w:t>т</w:t>
      </w:r>
      <w:r>
        <w:rPr>
          <w:sz w:val="25"/>
        </w:rPr>
        <w:t>мечает сильные головные боли, поэтому стала применять Вал</w:t>
      </w:r>
      <w:r>
        <w:rPr>
          <w:sz w:val="25"/>
        </w:rPr>
        <w:t>и</w:t>
      </w:r>
      <w:r>
        <w:rPr>
          <w:sz w:val="25"/>
        </w:rPr>
        <w:t>дол. От головной боли пациентка принимала Цитрамон по 1 таблетке и Но-шпу по 2 таблетки (эффект был положительным).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В последнее время больная принимает следующие препараты: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Индапамид по 2,5 мг х 1 раз в сутки утром;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Эгилок по 50 мг х 2 раза в сутки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Энап по 20 мг х 1 раз в сутки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Кардикет по 20 мг х 3 раза в день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Кислота ацетилсалициловая  по 0,25 г 1 раз в день.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</w:p>
    <w:p w:rsidR="00684CC9" w:rsidRDefault="00684CC9">
      <w:pPr>
        <w:pStyle w:val="a3"/>
        <w:ind w:left="284" w:firstLine="709"/>
        <w:jc w:val="both"/>
        <w:outlineLvl w:val="0"/>
        <w:rPr>
          <w:sz w:val="8"/>
        </w:rPr>
      </w:pPr>
    </w:p>
    <w:p w:rsidR="00684CC9" w:rsidRDefault="00684CC9">
      <w:pPr>
        <w:pStyle w:val="a3"/>
        <w:ind w:left="284" w:firstLine="709"/>
        <w:jc w:val="both"/>
        <w:outlineLvl w:val="0"/>
        <w:rPr>
          <w:sz w:val="8"/>
        </w:rPr>
      </w:pPr>
    </w:p>
    <w:p w:rsidR="00684CC9" w:rsidRDefault="00684CC9">
      <w:pPr>
        <w:pStyle w:val="a3"/>
        <w:ind w:left="284" w:firstLine="709"/>
        <w:jc w:val="both"/>
        <w:outlineLvl w:val="0"/>
        <w:rPr>
          <w:b/>
          <w:bCs/>
          <w:sz w:val="24"/>
        </w:rPr>
      </w:pPr>
      <w:r>
        <w:rPr>
          <w:b/>
          <w:bCs/>
          <w:sz w:val="25"/>
        </w:rPr>
        <w:t>Аллергологич</w:t>
      </w:r>
      <w:r>
        <w:rPr>
          <w:b/>
          <w:bCs/>
          <w:sz w:val="25"/>
        </w:rPr>
        <w:t>е</w:t>
      </w:r>
      <w:r>
        <w:rPr>
          <w:b/>
          <w:bCs/>
          <w:sz w:val="25"/>
        </w:rPr>
        <w:t>ский анамнез:</w:t>
      </w:r>
    </w:p>
    <w:p w:rsidR="00684CC9" w:rsidRDefault="00684CC9">
      <w:pPr>
        <w:pStyle w:val="a3"/>
        <w:ind w:left="284" w:firstLine="709"/>
        <w:jc w:val="both"/>
        <w:rPr>
          <w:sz w:val="24"/>
          <w:lang w:val="en-US"/>
        </w:rPr>
      </w:pPr>
      <w:r>
        <w:rPr>
          <w:sz w:val="24"/>
        </w:rPr>
        <w:t>Аллергическая реакция на антибиотики группы пенициллина, проявляющаяся в виде кожных высыпаний по типу крапивницы.</w:t>
      </w:r>
    </w:p>
    <w:p w:rsidR="00684CC9" w:rsidRDefault="00684CC9">
      <w:pPr>
        <w:pStyle w:val="a3"/>
        <w:ind w:left="284" w:firstLine="709"/>
        <w:jc w:val="both"/>
        <w:rPr>
          <w:sz w:val="24"/>
          <w:lang w:val="en-US"/>
        </w:rPr>
      </w:pPr>
    </w:p>
    <w:p w:rsidR="00684CC9" w:rsidRDefault="00684CC9">
      <w:pPr>
        <w:pStyle w:val="a3"/>
        <w:ind w:left="284" w:firstLine="709"/>
        <w:jc w:val="both"/>
        <w:outlineLvl w:val="0"/>
        <w:rPr>
          <w:b/>
          <w:bCs/>
          <w:sz w:val="25"/>
        </w:rPr>
      </w:pPr>
      <w:r>
        <w:rPr>
          <w:b/>
          <w:bCs/>
          <w:sz w:val="25"/>
        </w:rPr>
        <w:t>Перенесённые заболевания: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5"/>
        </w:rPr>
        <w:t>В 9 лет – ревматизм.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1960 г. – овариоэктомия.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</w:rPr>
      </w:pPr>
      <w:r>
        <w:rPr>
          <w:sz w:val="24"/>
        </w:rPr>
        <w:t>1998г. – субтотальная резекция щитовидной железы.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  <w:lang w:val="en-US"/>
        </w:rPr>
      </w:pPr>
      <w:r>
        <w:rPr>
          <w:sz w:val="24"/>
        </w:rPr>
        <w:t>2000г. – полипэктомия желудка.</w:t>
      </w:r>
    </w:p>
    <w:p w:rsidR="00684CC9" w:rsidRDefault="00684CC9">
      <w:pPr>
        <w:pStyle w:val="a3"/>
        <w:ind w:left="284" w:firstLine="709"/>
        <w:jc w:val="both"/>
        <w:outlineLvl w:val="0"/>
        <w:rPr>
          <w:sz w:val="24"/>
          <w:lang w:val="en-US"/>
        </w:rPr>
      </w:pPr>
    </w:p>
    <w:p w:rsidR="00684CC9" w:rsidRDefault="00684CC9">
      <w:pPr>
        <w:pStyle w:val="a3"/>
        <w:ind w:left="284" w:firstLine="709"/>
        <w:jc w:val="both"/>
        <w:outlineLvl w:val="0"/>
        <w:rPr>
          <w:sz w:val="24"/>
          <w:lang w:val="en-US"/>
        </w:rPr>
      </w:pPr>
    </w:p>
    <w:p w:rsidR="00684CC9" w:rsidRDefault="00684CC9">
      <w:pPr>
        <w:pStyle w:val="1"/>
        <w:numPr>
          <w:ilvl w:val="0"/>
          <w:numId w:val="11"/>
        </w:numPr>
        <w:rPr>
          <w:sz w:val="32"/>
        </w:rPr>
      </w:pPr>
      <w:r>
        <w:rPr>
          <w:sz w:val="32"/>
        </w:rPr>
        <w:lastRenderedPageBreak/>
        <w:t xml:space="preserve">Данные клинического осмотра и методов </w:t>
      </w:r>
    </w:p>
    <w:p w:rsidR="00684CC9" w:rsidRDefault="00684CC9">
      <w:pPr>
        <w:pStyle w:val="1"/>
        <w:rPr>
          <w:sz w:val="32"/>
        </w:rPr>
      </w:pPr>
      <w:r>
        <w:rPr>
          <w:sz w:val="32"/>
        </w:rPr>
        <w:t>исследов</w:t>
      </w:r>
      <w:r>
        <w:rPr>
          <w:sz w:val="32"/>
        </w:rPr>
        <w:t>а</w:t>
      </w:r>
      <w:r>
        <w:rPr>
          <w:sz w:val="32"/>
        </w:rPr>
        <w:t>ния:</w:t>
      </w:r>
    </w:p>
    <w:p w:rsidR="00684CC9" w:rsidRDefault="00684CC9">
      <w:pPr>
        <w:ind w:left="284" w:firstLine="709"/>
        <w:jc w:val="both"/>
      </w:pPr>
      <w:r>
        <w:t>Общее состояние удовлетворительное, сознание ясное. Положение больной активное. Выр</w:t>
      </w:r>
      <w:r>
        <w:t>а</w:t>
      </w:r>
      <w:r>
        <w:t>жение лица спокойное. Телосложение нормостеническое.</w:t>
      </w:r>
    </w:p>
    <w:p w:rsidR="00684CC9" w:rsidRDefault="00684CC9">
      <w:pPr>
        <w:ind w:left="284" w:firstLine="709"/>
        <w:jc w:val="both"/>
      </w:pPr>
      <w:r>
        <w:t>Кожные покровы бледно-розовой окраски, умеренно влажные, тургор кожи не изменен, от</w:t>
      </w:r>
      <w:r>
        <w:t>е</w:t>
      </w:r>
      <w:r>
        <w:t>ков нет. Подкожная жировая клетчатка развита умеренно. Видимые слизистые оболочки розового цвета, влажные.</w:t>
      </w:r>
    </w:p>
    <w:p w:rsidR="00684CC9" w:rsidRDefault="00684CC9">
      <w:pPr>
        <w:ind w:left="284" w:firstLine="709"/>
        <w:jc w:val="both"/>
      </w:pPr>
      <w:r>
        <w:t xml:space="preserve">При пальпации лимфатические узлы не увеличены. </w:t>
      </w:r>
    </w:p>
    <w:p w:rsidR="00684CC9" w:rsidRDefault="00684CC9">
      <w:pPr>
        <w:ind w:left="284" w:firstLine="709"/>
        <w:jc w:val="both"/>
      </w:pP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/>
        </w:rPr>
      </w:pPr>
      <w:r>
        <w:rPr>
          <w:b/>
        </w:rPr>
        <w:t>Система кровообращения: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r>
        <w:rPr>
          <w:bCs/>
        </w:rPr>
        <w:t>Область сердца и крупных сосудов не изменена. Верхушечный толчок пальпируется в 5 ме</w:t>
      </w:r>
      <w:r>
        <w:rPr>
          <w:bCs/>
        </w:rPr>
        <w:t>ж</w:t>
      </w:r>
      <w:r>
        <w:rPr>
          <w:bCs/>
        </w:rPr>
        <w:t>реберье по среднеключичной линии.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r>
        <w:rPr>
          <w:bCs/>
        </w:rPr>
        <w:t>Границы относительной тупости сердца: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proofErr w:type="gramStart"/>
      <w:r>
        <w:rPr>
          <w:bCs/>
        </w:rPr>
        <w:t>Верхняя</w:t>
      </w:r>
      <w:proofErr w:type="gramEnd"/>
      <w:r>
        <w:rPr>
          <w:bCs/>
        </w:rPr>
        <w:t xml:space="preserve"> – по нижнему краю 3 ребра;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proofErr w:type="gramStart"/>
      <w:r>
        <w:rPr>
          <w:bCs/>
        </w:rPr>
        <w:t>Правая</w:t>
      </w:r>
      <w:proofErr w:type="gramEnd"/>
      <w:r>
        <w:rPr>
          <w:bCs/>
        </w:rPr>
        <w:t xml:space="preserve"> – по правому краю грудины;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proofErr w:type="gramStart"/>
      <w:r>
        <w:rPr>
          <w:bCs/>
        </w:rPr>
        <w:t>Левая</w:t>
      </w:r>
      <w:proofErr w:type="gramEnd"/>
      <w:r>
        <w:rPr>
          <w:bCs/>
        </w:rPr>
        <w:t xml:space="preserve"> – на 1,5 см кнутри от левой среднеключичной линии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r>
        <w:rPr>
          <w:bCs/>
        </w:rPr>
        <w:t>Аускультация сердца: Тоны сердца приглушены. На верхушке сердца выслушивается сист</w:t>
      </w:r>
      <w:r>
        <w:rPr>
          <w:bCs/>
        </w:rPr>
        <w:t>о</w:t>
      </w:r>
      <w:r>
        <w:rPr>
          <w:bCs/>
        </w:rPr>
        <w:t>лический шум, проводящийся на аорту. ЧСС = 68 ударов в минуту.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r>
        <w:rPr>
          <w:bCs/>
        </w:rPr>
        <w:t>Пульс = 68 ударов в минуту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Cs/>
        </w:rPr>
      </w:pPr>
      <w:r>
        <w:rPr>
          <w:bCs/>
        </w:rPr>
        <w:t>АД на правой руке 160/90 мм</w:t>
      </w:r>
      <w:proofErr w:type="gramStart"/>
      <w:r>
        <w:rPr>
          <w:bCs/>
        </w:rPr>
        <w:t>.р</w:t>
      </w:r>
      <w:proofErr w:type="gramEnd"/>
      <w:r>
        <w:rPr>
          <w:bCs/>
        </w:rPr>
        <w:t>т.ст.</w:t>
      </w:r>
    </w:p>
    <w:p w:rsidR="00684CC9" w:rsidRDefault="00684CC9">
      <w:pPr>
        <w:tabs>
          <w:tab w:val="left" w:pos="2835"/>
        </w:tabs>
        <w:ind w:left="284" w:firstLine="709"/>
        <w:jc w:val="both"/>
        <w:rPr>
          <w:bCs/>
        </w:rPr>
      </w:pPr>
      <w:r>
        <w:rPr>
          <w:bCs/>
        </w:rPr>
        <w:t>АД на левой руке 160/90 мм</w:t>
      </w:r>
      <w:proofErr w:type="gramStart"/>
      <w:r>
        <w:rPr>
          <w:bCs/>
        </w:rPr>
        <w:t>.р</w:t>
      </w:r>
      <w:proofErr w:type="gramEnd"/>
      <w:r>
        <w:rPr>
          <w:bCs/>
        </w:rPr>
        <w:t>т.ст.</w:t>
      </w:r>
    </w:p>
    <w:p w:rsidR="00684CC9" w:rsidRDefault="00684CC9">
      <w:pPr>
        <w:tabs>
          <w:tab w:val="left" w:pos="2835"/>
        </w:tabs>
        <w:ind w:left="284" w:firstLine="709"/>
        <w:jc w:val="both"/>
        <w:outlineLvl w:val="0"/>
        <w:rPr>
          <w:b/>
        </w:rPr>
      </w:pPr>
    </w:p>
    <w:p w:rsidR="00684CC9" w:rsidRDefault="00684CC9">
      <w:pPr>
        <w:pStyle w:val="3"/>
        <w:jc w:val="center"/>
      </w:pPr>
      <w:r>
        <w:t>Данные лабораторных и инструментальных методов</w:t>
      </w:r>
    </w:p>
    <w:p w:rsidR="00684CC9" w:rsidRDefault="00684CC9">
      <w:pPr>
        <w:ind w:left="284" w:firstLine="709"/>
        <w:jc w:val="center"/>
        <w:outlineLvl w:val="0"/>
        <w:rPr>
          <w:b/>
          <w:bCs/>
          <w:sz w:val="28"/>
          <w:lang w:val="en-US"/>
        </w:rPr>
      </w:pPr>
      <w:r>
        <w:rPr>
          <w:b/>
          <w:bCs/>
          <w:sz w:val="28"/>
        </w:rPr>
        <w:t>исследов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>ния:</w:t>
      </w:r>
    </w:p>
    <w:p w:rsidR="00684CC9" w:rsidRDefault="00684CC9">
      <w:pPr>
        <w:ind w:left="284" w:firstLine="709"/>
        <w:jc w:val="center"/>
        <w:outlineLvl w:val="0"/>
        <w:rPr>
          <w:b/>
          <w:bCs/>
          <w:sz w:val="28"/>
          <w:lang w:val="en-US"/>
        </w:rPr>
      </w:pPr>
    </w:p>
    <w:p w:rsidR="00684CC9" w:rsidRDefault="00684CC9">
      <w:pPr>
        <w:jc w:val="both"/>
      </w:pPr>
      <w:r>
        <w:rPr>
          <w:b/>
          <w:bCs/>
          <w:u w:val="single"/>
        </w:rPr>
        <w:t xml:space="preserve">Клинический анализ крови (10.11.04): </w:t>
      </w:r>
    </w:p>
    <w:p w:rsidR="00684CC9" w:rsidRDefault="00684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700"/>
        <w:gridCol w:w="2880"/>
      </w:tblGrid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Показатель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Результат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Норма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Гемоглобин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144 г/л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130-160 г/л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Эритроциты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5,0 х 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4,0-5,0 х 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Цветовой показатель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0,86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0,85-1,1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Гематокрит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41,8%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40-48%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348" w:type="dxa"/>
          </w:tcPr>
          <w:p w:rsidR="00684CC9" w:rsidRDefault="00684CC9">
            <w:pPr>
              <w:jc w:val="both"/>
            </w:pPr>
            <w:r>
              <w:t>Средний объем эритроц</w:t>
            </w:r>
            <w:r>
              <w:t>и</w:t>
            </w:r>
            <w:r>
              <w:t>та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83,6 мкм</w:t>
            </w:r>
          </w:p>
        </w:tc>
        <w:tc>
          <w:tcPr>
            <w:tcW w:w="2880" w:type="dxa"/>
          </w:tcPr>
          <w:p w:rsidR="00684CC9" w:rsidRDefault="00684CC9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>
              <w:t>75-99 мкм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348" w:type="dxa"/>
          </w:tcPr>
          <w:p w:rsidR="00684CC9" w:rsidRDefault="00684CC9">
            <w:pPr>
              <w:jc w:val="both"/>
            </w:pPr>
            <w:r>
              <w:t>Средний диаметр эритр</w:t>
            </w:r>
            <w:r>
              <w:t>о</w:t>
            </w:r>
            <w:r>
              <w:t>цита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6,85 мкм</w:t>
            </w:r>
          </w:p>
        </w:tc>
        <w:tc>
          <w:tcPr>
            <w:tcW w:w="2880" w:type="dxa"/>
          </w:tcPr>
          <w:p w:rsidR="00684CC9" w:rsidRDefault="00684CC9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>
              <w:t>6,9-7,7 мкм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Тромбоциты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250 х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180-320 х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СОЭ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15 мм/ч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4-12 мм/ч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Лейкоциты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8,3 х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4,0-9,0 х 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Палочкоядерные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1%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1-6%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Сегментоядерные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67%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47-72%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Лимфоциты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19%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19-37%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84CC9" w:rsidRDefault="00684CC9">
            <w:pPr>
              <w:jc w:val="both"/>
            </w:pPr>
            <w:r>
              <w:t>Моноциты</w:t>
            </w:r>
          </w:p>
        </w:tc>
        <w:tc>
          <w:tcPr>
            <w:tcW w:w="2700" w:type="dxa"/>
          </w:tcPr>
          <w:p w:rsidR="00684CC9" w:rsidRDefault="00684CC9">
            <w:pPr>
              <w:jc w:val="center"/>
            </w:pPr>
            <w:r>
              <w:t>13%</w:t>
            </w:r>
          </w:p>
        </w:tc>
        <w:tc>
          <w:tcPr>
            <w:tcW w:w="2880" w:type="dxa"/>
          </w:tcPr>
          <w:p w:rsidR="00684CC9" w:rsidRDefault="00684CC9">
            <w:pPr>
              <w:jc w:val="center"/>
            </w:pPr>
            <w:r>
              <w:t>3-11%</w:t>
            </w:r>
          </w:p>
        </w:tc>
      </w:tr>
    </w:tbl>
    <w:p w:rsidR="00684CC9" w:rsidRDefault="00684CC9">
      <w:pPr>
        <w:jc w:val="both"/>
      </w:pPr>
    </w:p>
    <w:p w:rsidR="00684CC9" w:rsidRDefault="00684CC9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</w:rPr>
        <w:t>Общий анализ мочи (10.11.04):</w:t>
      </w:r>
    </w:p>
    <w:p w:rsidR="00684CC9" w:rsidRDefault="00684CC9">
      <w:pPr>
        <w:jc w:val="both"/>
        <w:rPr>
          <w:b/>
          <w:bCs/>
          <w:u w:val="single"/>
          <w:lang w:val="en-US"/>
        </w:rPr>
      </w:pPr>
    </w:p>
    <w:p w:rsidR="00684CC9" w:rsidRDefault="00684CC9">
      <w:pPr>
        <w:jc w:val="both"/>
      </w:pPr>
      <w:r>
        <w:rPr>
          <w:b/>
          <w:bCs/>
        </w:rPr>
        <w:t>Количество:</w:t>
      </w:r>
      <w:r>
        <w:t xml:space="preserve"> 100 мл</w:t>
      </w:r>
    </w:p>
    <w:p w:rsidR="00684CC9" w:rsidRDefault="00684CC9">
      <w:pPr>
        <w:jc w:val="both"/>
      </w:pPr>
      <w:r>
        <w:rPr>
          <w:b/>
          <w:bCs/>
        </w:rPr>
        <w:t>Цвет:</w:t>
      </w:r>
      <w:r>
        <w:t xml:space="preserve"> желтый</w:t>
      </w:r>
    </w:p>
    <w:p w:rsidR="00684CC9" w:rsidRDefault="00684CC9">
      <w:pPr>
        <w:jc w:val="both"/>
      </w:pPr>
      <w:r>
        <w:t>Прозрачность: полная</w:t>
      </w:r>
    </w:p>
    <w:p w:rsidR="00684CC9" w:rsidRDefault="00684CC9">
      <w:pPr>
        <w:jc w:val="both"/>
      </w:pPr>
      <w:r>
        <w:rPr>
          <w:b/>
          <w:bCs/>
        </w:rPr>
        <w:t xml:space="preserve">Относительная плотность: </w:t>
      </w:r>
      <w:r>
        <w:t>1020 (норма 1018-1025)</w:t>
      </w:r>
    </w:p>
    <w:p w:rsidR="00684CC9" w:rsidRDefault="00684CC9">
      <w:pPr>
        <w:jc w:val="both"/>
      </w:pPr>
      <w:r>
        <w:rPr>
          <w:b/>
          <w:bCs/>
        </w:rPr>
        <w:t>Реакция:</w:t>
      </w:r>
      <w:r>
        <w:t xml:space="preserve"> 5,0 (норма 5,0-7,0)</w:t>
      </w:r>
    </w:p>
    <w:p w:rsidR="00684CC9" w:rsidRDefault="00684CC9">
      <w:pPr>
        <w:jc w:val="both"/>
      </w:pPr>
      <w:r>
        <w:rPr>
          <w:b/>
          <w:bCs/>
        </w:rPr>
        <w:t>Белок:</w:t>
      </w:r>
      <w:r>
        <w:t xml:space="preserve"> нет</w:t>
      </w:r>
    </w:p>
    <w:p w:rsidR="00684CC9" w:rsidRDefault="00684CC9">
      <w:pPr>
        <w:jc w:val="both"/>
      </w:pPr>
      <w:r>
        <w:rPr>
          <w:b/>
          <w:bCs/>
        </w:rPr>
        <w:t xml:space="preserve"> Глюкоза:</w:t>
      </w:r>
      <w:r>
        <w:t xml:space="preserve"> нет</w:t>
      </w:r>
    </w:p>
    <w:p w:rsidR="00684CC9" w:rsidRDefault="00684CC9">
      <w:pPr>
        <w:jc w:val="both"/>
      </w:pPr>
      <w:r>
        <w:rPr>
          <w:b/>
          <w:bCs/>
        </w:rPr>
        <w:t xml:space="preserve"> Кетоновые тела:</w:t>
      </w:r>
      <w:r>
        <w:t xml:space="preserve"> нет</w:t>
      </w:r>
    </w:p>
    <w:p w:rsidR="00684CC9" w:rsidRDefault="00684CC9">
      <w:pPr>
        <w:jc w:val="both"/>
      </w:pPr>
      <w:r>
        <w:rPr>
          <w:b/>
          <w:bCs/>
        </w:rPr>
        <w:t>Билирубин:</w:t>
      </w:r>
      <w:r>
        <w:t xml:space="preserve">  нет</w:t>
      </w:r>
    </w:p>
    <w:p w:rsidR="00684CC9" w:rsidRDefault="00684CC9">
      <w:pPr>
        <w:jc w:val="both"/>
      </w:pPr>
      <w:r>
        <w:rPr>
          <w:b/>
          <w:bCs/>
        </w:rPr>
        <w:t>Желчные кислоты:</w:t>
      </w:r>
      <w:r>
        <w:t xml:space="preserve"> нет</w:t>
      </w:r>
    </w:p>
    <w:p w:rsidR="00684CC9" w:rsidRDefault="00684CC9">
      <w:pPr>
        <w:jc w:val="both"/>
      </w:pPr>
      <w:r>
        <w:rPr>
          <w:b/>
          <w:bCs/>
        </w:rPr>
        <w:t>Индикан:</w:t>
      </w:r>
      <w:r>
        <w:t xml:space="preserve"> нет</w:t>
      </w:r>
    </w:p>
    <w:p w:rsidR="00684CC9" w:rsidRDefault="00684CC9">
      <w:pPr>
        <w:jc w:val="both"/>
      </w:pPr>
      <w:r>
        <w:rPr>
          <w:b/>
          <w:bCs/>
        </w:rPr>
        <w:lastRenderedPageBreak/>
        <w:t>Эпителий плоский:</w:t>
      </w:r>
      <w:r>
        <w:t xml:space="preserve"> единичный в поле зрения</w:t>
      </w:r>
    </w:p>
    <w:p w:rsidR="00684CC9" w:rsidRDefault="00684CC9">
      <w:pPr>
        <w:jc w:val="both"/>
      </w:pPr>
      <w:r>
        <w:rPr>
          <w:b/>
          <w:bCs/>
        </w:rPr>
        <w:t>Эритроциты неизмененные:</w:t>
      </w:r>
      <w:r>
        <w:t xml:space="preserve"> 0-1 в поле зрения</w:t>
      </w:r>
    </w:p>
    <w:p w:rsidR="00684CC9" w:rsidRDefault="00684CC9">
      <w:pPr>
        <w:jc w:val="both"/>
      </w:pPr>
      <w:r>
        <w:rPr>
          <w:b/>
          <w:bCs/>
        </w:rPr>
        <w:t>Лейкоциты:</w:t>
      </w:r>
      <w:r>
        <w:t xml:space="preserve"> 2-4 в поле зрения</w:t>
      </w:r>
    </w:p>
    <w:p w:rsidR="00684CC9" w:rsidRDefault="00684CC9">
      <w:pPr>
        <w:jc w:val="both"/>
      </w:pPr>
      <w:r>
        <w:rPr>
          <w:b/>
          <w:bCs/>
        </w:rPr>
        <w:t>Эритроциты измененные:</w:t>
      </w:r>
      <w:r>
        <w:t xml:space="preserve"> 0-1 в поле зрения</w:t>
      </w:r>
    </w:p>
    <w:p w:rsidR="00684CC9" w:rsidRDefault="00684CC9">
      <w:pPr>
        <w:jc w:val="both"/>
      </w:pPr>
      <w:r>
        <w:rPr>
          <w:b/>
          <w:bCs/>
        </w:rPr>
        <w:t>Слизь:</w:t>
      </w:r>
      <w:r>
        <w:t xml:space="preserve"> умеренное количество</w:t>
      </w:r>
    </w:p>
    <w:p w:rsidR="00684CC9" w:rsidRDefault="00684CC9">
      <w:pPr>
        <w:ind w:left="284" w:firstLine="709"/>
        <w:jc w:val="both"/>
        <w:outlineLvl w:val="0"/>
      </w:pPr>
    </w:p>
    <w:p w:rsidR="00684CC9" w:rsidRDefault="00684CC9">
      <w:pPr>
        <w:ind w:left="284" w:firstLine="70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Биохимический анализ крови (10.11.04):</w:t>
      </w:r>
    </w:p>
    <w:p w:rsidR="00684CC9" w:rsidRDefault="00684CC9">
      <w:pPr>
        <w:ind w:left="284" w:firstLine="709"/>
        <w:jc w:val="both"/>
        <w:outlineLvl w:val="0"/>
        <w:rPr>
          <w:b/>
          <w:bCs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2548"/>
        <w:gridCol w:w="2160"/>
      </w:tblGrid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Результат</w:t>
            </w:r>
          </w:p>
        </w:tc>
        <w:tc>
          <w:tcPr>
            <w:tcW w:w="2160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Норма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pStyle w:val="a5"/>
              <w:tabs>
                <w:tab w:val="clear" w:pos="4677"/>
                <w:tab w:val="clear" w:pos="9355"/>
              </w:tabs>
              <w:outlineLvl w:val="0"/>
            </w:pPr>
            <w:r>
              <w:t>Общий белок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</w:pPr>
            <w:r>
              <w:t>80 ммоль/л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</w:pP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</w:pPr>
            <w:r>
              <w:t>Альбумины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45г/л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Глобулины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</w:pPr>
            <w:r>
              <w:t>35 г/л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Креатинин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</w:pPr>
            <w:r>
              <w:t>35 г/л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</w:pPr>
            <w:r>
              <w:t>35 – 97 г/л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Β-липопротеины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6,6 г/л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  <w:r>
              <w:t>3-6 г/л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  <w:r>
              <w:t>Общий билирубин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15 мкмоль/л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</w:pPr>
            <w:r>
              <w:t>8,5-20,5 мкмоль/л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Прямой билирубин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3 мкмоль/л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Непрямой билирубин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12 мкмоль/л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</w:rPr>
            </w:pPr>
            <w:r>
              <w:t>ЛДГ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 xml:space="preserve">245 </w:t>
            </w:r>
            <w:r>
              <w:rPr>
                <w:lang w:val="en-US"/>
              </w:rPr>
              <w:t>EU</w:t>
            </w:r>
            <w:r>
              <w:t>/</w:t>
            </w:r>
            <w:r>
              <w:rPr>
                <w:lang w:val="en-US"/>
              </w:rPr>
              <w:t>L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t>0-450 EU/L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  <w:lang w:val="en-US"/>
              </w:rPr>
            </w:pPr>
            <w:r>
              <w:t>КФК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t>194 EU/L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t>0-170 EU/L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outlineLvl w:val="0"/>
              <w:rPr>
                <w:b/>
                <w:bCs/>
                <w:u w:val="single"/>
                <w:lang w:val="en-US"/>
              </w:rPr>
            </w:pPr>
            <w:r>
              <w:t>Глюкоза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</w:rPr>
            </w:pPr>
            <w:r>
              <w:t>5,25 ммоль/л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  <w:r>
              <w:t>3,0-6,1 ммоль/л</w:t>
            </w:r>
          </w:p>
        </w:tc>
      </w:tr>
      <w:tr w:rsidR="00684CC9">
        <w:tblPrEx>
          <w:tblCellMar>
            <w:top w:w="0" w:type="dxa"/>
            <w:bottom w:w="0" w:type="dxa"/>
          </w:tblCellMar>
        </w:tblPrEx>
        <w:tc>
          <w:tcPr>
            <w:tcW w:w="3216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</w:rPr>
            </w:pPr>
            <w:r>
              <w:t xml:space="preserve">Тимоловая проба </w:t>
            </w:r>
          </w:p>
        </w:tc>
        <w:tc>
          <w:tcPr>
            <w:tcW w:w="2548" w:type="dxa"/>
          </w:tcPr>
          <w:p w:rsidR="00684CC9" w:rsidRDefault="00684CC9">
            <w:pPr>
              <w:jc w:val="center"/>
              <w:outlineLvl w:val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t>4,11 EU/L</w:t>
            </w:r>
          </w:p>
        </w:tc>
        <w:tc>
          <w:tcPr>
            <w:tcW w:w="2160" w:type="dxa"/>
          </w:tcPr>
          <w:p w:rsidR="00684CC9" w:rsidRDefault="00684CC9">
            <w:pPr>
              <w:jc w:val="both"/>
              <w:outlineLvl w:val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t>0-25 EU/L</w:t>
            </w:r>
          </w:p>
        </w:tc>
      </w:tr>
    </w:tbl>
    <w:p w:rsidR="00684CC9" w:rsidRDefault="00684CC9">
      <w:pPr>
        <w:ind w:left="284" w:firstLine="709"/>
        <w:jc w:val="both"/>
        <w:outlineLvl w:val="0"/>
        <w:rPr>
          <w:b/>
          <w:bCs/>
          <w:u w:val="single"/>
          <w:lang w:val="en-US"/>
        </w:rPr>
      </w:pPr>
    </w:p>
    <w:p w:rsidR="00684CC9" w:rsidRDefault="00684CC9">
      <w:pPr>
        <w:jc w:val="both"/>
        <w:outlineLvl w:val="0"/>
        <w:rPr>
          <w:b/>
          <w:bCs/>
          <w:u w:val="single"/>
        </w:rPr>
      </w:pPr>
    </w:p>
    <w:p w:rsidR="00684CC9" w:rsidRDefault="00684CC9">
      <w:pPr>
        <w:pStyle w:val="2"/>
        <w:ind w:firstLine="0"/>
        <w:rPr>
          <w:b w:val="0"/>
          <w:bCs w:val="0"/>
        </w:rPr>
      </w:pPr>
      <w:r>
        <w:rPr>
          <w:u w:val="single"/>
        </w:rPr>
        <w:t>ЭХОКГ (11.11.04):</w:t>
      </w:r>
      <w:r>
        <w:t xml:space="preserve"> </w:t>
      </w:r>
      <w:r>
        <w:rPr>
          <w:b w:val="0"/>
          <w:bCs w:val="0"/>
        </w:rPr>
        <w:t xml:space="preserve">Небольшое расширение левого желудочка, </w:t>
      </w:r>
      <w:proofErr w:type="gramStart"/>
      <w:r>
        <w:rPr>
          <w:b w:val="0"/>
          <w:bCs w:val="0"/>
        </w:rPr>
        <w:t>незначительная</w:t>
      </w:r>
      <w:proofErr w:type="gramEnd"/>
      <w:r>
        <w:rPr>
          <w:b w:val="0"/>
          <w:bCs w:val="0"/>
        </w:rPr>
        <w:t xml:space="preserve"> митральная регург</w:t>
      </w:r>
      <w:r>
        <w:rPr>
          <w:b w:val="0"/>
          <w:bCs w:val="0"/>
        </w:rPr>
        <w:t>и</w:t>
      </w:r>
      <w:r>
        <w:rPr>
          <w:b w:val="0"/>
          <w:bCs w:val="0"/>
        </w:rPr>
        <w:t>тация.</w:t>
      </w:r>
    </w:p>
    <w:p w:rsidR="00684CC9" w:rsidRDefault="00684CC9">
      <w:pPr>
        <w:rPr>
          <w:b/>
          <w:bCs/>
          <w:u w:val="single"/>
        </w:rPr>
      </w:pPr>
    </w:p>
    <w:p w:rsidR="00684CC9" w:rsidRDefault="00684CC9">
      <w:pPr>
        <w:jc w:val="both"/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 xml:space="preserve">УЗИ (11.11.04): </w:t>
      </w:r>
      <w:r>
        <w:rPr>
          <w:b/>
          <w:bCs/>
        </w:rPr>
        <w:t xml:space="preserve"> </w:t>
      </w:r>
      <w:r>
        <w:t>повышение эхогенности печени, поджелудочной железы. Уплотнение стенок моч</w:t>
      </w:r>
      <w:r>
        <w:t>е</w:t>
      </w:r>
      <w:r>
        <w:t>вого пузыря. Повышение эхогенности почечной системы.</w:t>
      </w:r>
    </w:p>
    <w:p w:rsidR="00684CC9" w:rsidRDefault="00684CC9">
      <w:pPr>
        <w:jc w:val="both"/>
      </w:pPr>
    </w:p>
    <w:p w:rsidR="00684CC9" w:rsidRDefault="00684CC9">
      <w:pPr>
        <w:jc w:val="both"/>
        <w:rPr>
          <w:b/>
          <w:bCs/>
          <w:u w:val="single"/>
        </w:rPr>
      </w:pPr>
      <w:r>
        <w:t xml:space="preserve">     </w:t>
      </w:r>
      <w:r>
        <w:rPr>
          <w:b/>
          <w:bCs/>
          <w:u w:val="single"/>
        </w:rPr>
        <w:t>ЭКГ (10.11.04):</w:t>
      </w:r>
    </w:p>
    <w:p w:rsidR="00684CC9" w:rsidRDefault="00684CC9">
      <w:pPr>
        <w:pStyle w:val="20"/>
        <w:outlineLvl w:val="9"/>
      </w:pPr>
      <w:r>
        <w:t>Синусовая брадикардия, отклонение ЭОС влево, гипертрофия левого желудочка.</w:t>
      </w:r>
    </w:p>
    <w:p w:rsidR="00684CC9" w:rsidRDefault="00684CC9">
      <w:pPr>
        <w:jc w:val="both"/>
        <w:rPr>
          <w:b/>
          <w:bCs/>
          <w:sz w:val="32"/>
          <w:lang w:val="en-US"/>
        </w:rPr>
      </w:pPr>
    </w:p>
    <w:p w:rsidR="00684CC9" w:rsidRDefault="00684CC9">
      <w:pPr>
        <w:jc w:val="both"/>
        <w:rPr>
          <w:b/>
          <w:bCs/>
          <w:sz w:val="32"/>
          <w:lang w:val="en-US"/>
        </w:rPr>
      </w:pPr>
    </w:p>
    <w:p w:rsidR="00684CC9" w:rsidRDefault="00684CC9">
      <w:pPr>
        <w:ind w:left="284" w:firstLine="709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>. Полный клинический диагноз:</w:t>
      </w:r>
    </w:p>
    <w:p w:rsidR="00684CC9" w:rsidRDefault="00684CC9">
      <w:pPr>
        <w:ind w:left="284" w:firstLine="709"/>
        <w:jc w:val="center"/>
        <w:outlineLvl w:val="0"/>
      </w:pPr>
    </w:p>
    <w:p w:rsidR="00684CC9" w:rsidRDefault="00684CC9">
      <w:pPr>
        <w:jc w:val="both"/>
        <w:outlineLvl w:val="0"/>
      </w:pPr>
      <w:r>
        <w:rPr>
          <w:b/>
          <w:bCs/>
          <w:u w:val="single"/>
        </w:rPr>
        <w:t xml:space="preserve">Основное заболевание: </w:t>
      </w:r>
      <w:r>
        <w:t xml:space="preserve"> Артериальная гипертензия </w:t>
      </w:r>
      <w:r>
        <w:rPr>
          <w:lang w:val="en-US"/>
        </w:rPr>
        <w:t>II</w:t>
      </w:r>
      <w:r>
        <w:t xml:space="preserve"> степени, высокого риска;</w:t>
      </w:r>
    </w:p>
    <w:p w:rsidR="00684CC9" w:rsidRDefault="00684CC9">
      <w:pPr>
        <w:ind w:left="284" w:firstLine="709"/>
        <w:jc w:val="both"/>
        <w:outlineLvl w:val="0"/>
      </w:pPr>
      <w:r>
        <w:t xml:space="preserve">                            ИБС: стенокардия, </w:t>
      </w:r>
      <w:r>
        <w:rPr>
          <w:lang w:val="en-US"/>
        </w:rPr>
        <w:t>II</w:t>
      </w:r>
      <w:r>
        <w:t xml:space="preserve"> функциональный класс;</w:t>
      </w:r>
    </w:p>
    <w:p w:rsidR="00684CC9" w:rsidRDefault="00684CC9">
      <w:pPr>
        <w:ind w:left="284" w:firstLine="709"/>
        <w:jc w:val="both"/>
        <w:outlineLvl w:val="0"/>
        <w:rPr>
          <w:lang w:val="en-US"/>
        </w:rPr>
      </w:pPr>
      <w:r>
        <w:t xml:space="preserve">                           Атеросклеротический кардиосклероз.</w:t>
      </w:r>
    </w:p>
    <w:p w:rsidR="00684CC9" w:rsidRDefault="00684CC9">
      <w:pPr>
        <w:ind w:left="284" w:firstLine="709"/>
        <w:jc w:val="both"/>
        <w:outlineLvl w:val="0"/>
        <w:rPr>
          <w:lang w:val="en-US"/>
        </w:rPr>
      </w:pPr>
    </w:p>
    <w:p w:rsidR="00684CC9" w:rsidRDefault="00684CC9">
      <w:pPr>
        <w:jc w:val="both"/>
        <w:outlineLvl w:val="0"/>
      </w:pPr>
      <w:r>
        <w:rPr>
          <w:b/>
          <w:bCs/>
          <w:u w:val="single"/>
        </w:rPr>
        <w:t>Сопутствующие заболевания</w:t>
      </w:r>
      <w:r>
        <w:rPr>
          <w:b/>
          <w:bCs/>
        </w:rPr>
        <w:t>:</w:t>
      </w:r>
      <w:r>
        <w:t xml:space="preserve"> Состояние после струмэктомии;</w:t>
      </w:r>
    </w:p>
    <w:p w:rsidR="00684CC9" w:rsidRDefault="00684CC9">
      <w:pPr>
        <w:ind w:left="284" w:firstLine="709"/>
        <w:jc w:val="both"/>
        <w:outlineLvl w:val="0"/>
      </w:pPr>
      <w:r>
        <w:t xml:space="preserve">                                       Состояние после полипэктомии.</w:t>
      </w:r>
    </w:p>
    <w:p w:rsidR="00684CC9" w:rsidRDefault="00684CC9">
      <w:pPr>
        <w:ind w:left="284" w:firstLine="709"/>
        <w:jc w:val="both"/>
        <w:outlineLvl w:val="0"/>
      </w:pPr>
    </w:p>
    <w:p w:rsidR="00684CC9" w:rsidRDefault="00684CC9">
      <w:pPr>
        <w:ind w:left="284" w:firstLine="709"/>
        <w:jc w:val="both"/>
        <w:outlineLvl w:val="0"/>
      </w:pPr>
    </w:p>
    <w:p w:rsidR="00684CC9" w:rsidRDefault="00684CC9">
      <w:pPr>
        <w:ind w:left="284" w:firstLine="709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  <w:lang w:val="en-US"/>
        </w:rPr>
        <w:t>IV</w:t>
      </w:r>
      <w:r>
        <w:rPr>
          <w:b/>
          <w:bCs/>
          <w:sz w:val="32"/>
        </w:rPr>
        <w:t>. Фармакодинамика и фармакокинетика лекарственных средств, оценка клин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ческой эффективности препаратов:</w:t>
      </w:r>
    </w:p>
    <w:p w:rsidR="00684CC9" w:rsidRDefault="00684CC9">
      <w:pPr>
        <w:jc w:val="both"/>
        <w:outlineLvl w:val="0"/>
      </w:pPr>
    </w:p>
    <w:p w:rsidR="00684CC9" w:rsidRDefault="00684CC9">
      <w:pPr>
        <w:numPr>
          <w:ilvl w:val="0"/>
          <w:numId w:val="14"/>
        </w:numPr>
        <w:jc w:val="both"/>
        <w:outlineLvl w:val="0"/>
      </w:pPr>
      <w:proofErr w:type="spellStart"/>
      <w:r>
        <w:rPr>
          <w:b/>
          <w:bCs/>
          <w:sz w:val="28"/>
        </w:rPr>
        <w:t>Энап</w:t>
      </w:r>
      <w:proofErr w:type="spellEnd"/>
      <w:r>
        <w:rPr>
          <w:b/>
          <w:bCs/>
          <w:sz w:val="28"/>
        </w:rPr>
        <w:t xml:space="preserve"> </w:t>
      </w:r>
      <w:r>
        <w:t>(Эналаприла малеат): анитигипертензивное средство, относящееся к группе ингибиторов анги</w:t>
      </w:r>
      <w:r>
        <w:t>о</w:t>
      </w:r>
      <w:r>
        <w:t xml:space="preserve">тензинпревращающего фермента (АПФ). </w:t>
      </w:r>
    </w:p>
    <w:p w:rsidR="00684CC9" w:rsidRDefault="00684CC9">
      <w:pPr>
        <w:ind w:left="360"/>
        <w:jc w:val="both"/>
        <w:outlineLvl w:val="0"/>
      </w:pPr>
    </w:p>
    <w:p w:rsidR="00684CC9" w:rsidRDefault="00684CC9">
      <w:pPr>
        <w:jc w:val="both"/>
        <w:outlineLvl w:val="0"/>
        <w:rPr>
          <w:lang w:val="en-US"/>
        </w:rPr>
      </w:pPr>
      <w:proofErr w:type="spellStart"/>
      <w:r>
        <w:rPr>
          <w:b/>
          <w:bCs/>
          <w:sz w:val="28"/>
        </w:rPr>
        <w:t>Фармакодинамика</w:t>
      </w:r>
      <w:proofErr w:type="spellEnd"/>
      <w:r>
        <w:rPr>
          <w:b/>
          <w:bCs/>
          <w:sz w:val="28"/>
        </w:rPr>
        <w:t>:</w:t>
      </w:r>
      <w:r>
        <w:t xml:space="preserve"> Механизм действия препарата связан с угнетением активности ангиотензи</w:t>
      </w:r>
      <w:r>
        <w:t>н</w:t>
      </w:r>
      <w:r>
        <w:t>превращающего фермента, приводящего к образованию ангиотензина-</w:t>
      </w:r>
      <w:r>
        <w:rPr>
          <w:lang w:val="en-US"/>
        </w:rPr>
        <w:t>II</w:t>
      </w:r>
      <w:r>
        <w:t>, который оказывает выраже</w:t>
      </w:r>
      <w:r>
        <w:t>н</w:t>
      </w:r>
      <w:r>
        <w:t>ное сосудосуживающее действие , а также стимулирует секрецию альдостерона и способствует задер</w:t>
      </w:r>
      <w:r>
        <w:t>ж</w:t>
      </w:r>
      <w:r>
        <w:t xml:space="preserve">ке </w:t>
      </w:r>
      <w:r>
        <w:rPr>
          <w:lang w:val="en-US"/>
        </w:rPr>
        <w:t>Na</w:t>
      </w:r>
      <w:r>
        <w:rPr>
          <w:vertAlign w:val="superscript"/>
        </w:rPr>
        <w:t xml:space="preserve">+  </w:t>
      </w:r>
      <w:r>
        <w:t>в организме, увеличению ОЦК и калийурезу. Ингибиторы АПФ вызывают повышение содерж</w:t>
      </w:r>
      <w:r>
        <w:t>а</w:t>
      </w:r>
      <w:r>
        <w:t>ния в плазме крови ренина и снижение концентрации ангиотензина-</w:t>
      </w:r>
      <w:r>
        <w:rPr>
          <w:lang w:val="en-US"/>
        </w:rPr>
        <w:t>II</w:t>
      </w:r>
      <w:r>
        <w:t>, а также препятствует разруш</w:t>
      </w:r>
      <w:r>
        <w:t>е</w:t>
      </w:r>
      <w:r>
        <w:lastRenderedPageBreak/>
        <w:t>нию брадикинина, уменьшает выделение альдостерона. В результате развиваются соответствующие фармакологические эффекты: исчезает вазопрессорное, антидиуретическое и ант</w:t>
      </w:r>
      <w:r>
        <w:t>и</w:t>
      </w:r>
      <w:r>
        <w:t>натрийуретическое действие ангиотензина-</w:t>
      </w:r>
      <w:r>
        <w:rPr>
          <w:lang w:val="en-US"/>
        </w:rPr>
        <w:t>II</w:t>
      </w:r>
      <w:r>
        <w:t>, усиливается сосудорасширяющее и натрийуретическое действие брадикин</w:t>
      </w:r>
      <w:r>
        <w:t>и</w:t>
      </w:r>
      <w:r>
        <w:t>на.  Препараты этой группы вызывают уменьшение тонуса сосудов, главным образом артериол, всле</w:t>
      </w:r>
      <w:r>
        <w:t>д</w:t>
      </w:r>
      <w:r>
        <w:t>ствие чего снижаются АД, ОПСС и соответственно постнагрузка, что способствует увеличению серде</w:t>
      </w:r>
      <w:r>
        <w:t>ч</w:t>
      </w:r>
      <w:r>
        <w:t>ного выброса. Снижение содержания альдостерона приводит к в</w:t>
      </w:r>
      <w:r>
        <w:t>ы</w:t>
      </w:r>
      <w:r>
        <w:t xml:space="preserve">делению из организма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и задержке К</w:t>
      </w:r>
      <w:r>
        <w:rPr>
          <w:vertAlign w:val="superscript"/>
        </w:rPr>
        <w:t xml:space="preserve">+ </w:t>
      </w:r>
      <w:r>
        <w:t>. Ингибиторы АПФ, как правило, не вызывают рефлекторную тахикардию. Одновременно происх</w:t>
      </w:r>
      <w:r>
        <w:t>о</w:t>
      </w:r>
      <w:r>
        <w:t>дит увеличение концентрации брадикинина, в результате чего происходит расширение венозных сос</w:t>
      </w:r>
      <w:r>
        <w:t>у</w:t>
      </w:r>
      <w:r>
        <w:t>дов, что приводит к уменьшению венозного возврата к сердцу (уменьшение постнагрузки) и снижению давления в малом круге кровообращения. У пациентов с артериальной гипертензией и нормальной функцией почек на фоне применения ингибиторов АПФ практически не изменяется или увеличивается почечный кровоток и клубочковая фильтрация. Уменьшая образования ангиотензина-</w:t>
      </w:r>
      <w:r>
        <w:rPr>
          <w:lang w:val="en-US"/>
        </w:rPr>
        <w:t>II</w:t>
      </w:r>
      <w:r>
        <w:t xml:space="preserve"> в сердце, инг</w:t>
      </w:r>
      <w:r>
        <w:t>и</w:t>
      </w:r>
      <w:r>
        <w:t>биторы АПФ препятствуют прогрессированию дилатации левого желудочка и вызывают обратное ра</w:t>
      </w:r>
      <w:r>
        <w:t>з</w:t>
      </w:r>
      <w:r>
        <w:t>витие его гипертрофии. Препараты этой группы благоприятно влияют на коронарный кровоток, увел</w:t>
      </w:r>
      <w:r>
        <w:t>и</w:t>
      </w:r>
      <w:r>
        <w:t>чивая его объемную скорость и уменьшая напряжение стенок желудочков. Введение ингибиторов АПФ приводит к уменьшению влияния симпатической нервной системы на тонус сосудов. Ингибиторы АПФ не оказывают воздействия на мозговое кровообращение., не влияют на обмен липидов, мочевой кисл</w:t>
      </w:r>
      <w:r>
        <w:t>о</w:t>
      </w:r>
      <w:r>
        <w:t>ты, предотвр</w:t>
      </w:r>
      <w:r>
        <w:t>а</w:t>
      </w:r>
      <w:r>
        <w:t>щают отрицательное влияние диуретиков на электролитный баланс. Ингибиторы АПФ не вызывают под</w:t>
      </w:r>
      <w:r>
        <w:t>ъ</w:t>
      </w:r>
      <w:r>
        <w:t>ема АД и увеличения постнагрузки сразу после их отмены, т.е. для них не характерен синдром о</w:t>
      </w:r>
      <w:r>
        <w:t>т</w:t>
      </w:r>
      <w:r>
        <w:t>мены.</w:t>
      </w:r>
    </w:p>
    <w:p w:rsidR="00684CC9" w:rsidRDefault="00684CC9">
      <w:pPr>
        <w:ind w:left="360"/>
        <w:jc w:val="both"/>
        <w:outlineLvl w:val="0"/>
        <w:rPr>
          <w:lang w:val="en-US"/>
        </w:rPr>
      </w:pPr>
    </w:p>
    <w:p w:rsidR="00684CC9" w:rsidRDefault="00684CC9">
      <w:pPr>
        <w:jc w:val="both"/>
        <w:outlineLvl w:val="0"/>
      </w:pPr>
      <w:proofErr w:type="spellStart"/>
      <w:r>
        <w:rPr>
          <w:b/>
          <w:bCs/>
          <w:sz w:val="28"/>
        </w:rPr>
        <w:t>Фармакокинетика</w:t>
      </w:r>
      <w:proofErr w:type="spellEnd"/>
      <w:r>
        <w:rPr>
          <w:b/>
          <w:bCs/>
          <w:sz w:val="28"/>
        </w:rPr>
        <w:t>:</w:t>
      </w:r>
      <w:r>
        <w:t xml:space="preserve"> по фармакокинетическим свойствам эналаприл относится к предшестве</w:t>
      </w:r>
      <w:r>
        <w:t>н</w:t>
      </w:r>
      <w:r>
        <w:t xml:space="preserve">никам ингибиторов АПФ. После приема внутрь внутрь всасывается около 60% эналаприла. При прохождении через слизистую оболочку ЖКТ и подвергаясь метаболизму в печени, эналаприл путем гидролиза эфирной связи превращается в активную форму – эналаприлат. Всасывание эналаприла происходит быстро и не зависит от приема пищи, что позволяет принимать его после еды. </w:t>
      </w:r>
    </w:p>
    <w:p w:rsidR="00684CC9" w:rsidRDefault="00684CC9">
      <w:pPr>
        <w:jc w:val="both"/>
        <w:outlineLvl w:val="0"/>
      </w:pPr>
      <w:proofErr w:type="spellStart"/>
      <w:r>
        <w:t>Эналаприл</w:t>
      </w:r>
      <w:proofErr w:type="spellEnd"/>
      <w:r>
        <w:t xml:space="preserve"> не образует соединений с белками плазмы, в отличие от эналаприлата, который связыв</w:t>
      </w:r>
      <w:r>
        <w:t>а</w:t>
      </w:r>
      <w:r>
        <w:t>ется с белк</w:t>
      </w:r>
      <w:r>
        <w:t>а</w:t>
      </w:r>
      <w:r>
        <w:t xml:space="preserve">ми на 60-80%.        </w:t>
      </w:r>
    </w:p>
    <w:p w:rsidR="00684CC9" w:rsidRDefault="00684CC9">
      <w:pPr>
        <w:jc w:val="both"/>
        <w:outlineLvl w:val="0"/>
      </w:pPr>
      <w:r>
        <w:t>Пик концентрации в крови эналаприла достигается через 0,5-2 ч, а эналаприлата – через 3-4 ч после приема. Стабильные концентрации в сыворотке крови наблюдаются через 4 дня. Максимальный э</w:t>
      </w:r>
      <w:r>
        <w:t>ф</w:t>
      </w:r>
      <w:r>
        <w:t>фект препарата наблюдается через 6-8 часов. Эффект сохраняется в течение 24 часов, поэтому препарат д</w:t>
      </w:r>
      <w:r>
        <w:t>о</w:t>
      </w:r>
      <w:r>
        <w:t>статочно принимать 1-2 раза в сутки. Общий терапевтический эффект достигается через несколько недель.</w:t>
      </w: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t>Эналаприл</w:t>
      </w:r>
      <w:proofErr w:type="spellEnd"/>
      <w:r>
        <w:t xml:space="preserve"> выводится почками в виде активных метаболитов. При нарушении функции почек их эк</w:t>
      </w:r>
      <w:r>
        <w:t>с</w:t>
      </w:r>
      <w:r>
        <w:t xml:space="preserve">креция уменьшается, как правило, пропорционально снижению клиренса креатинина. 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jc w:val="both"/>
        <w:outlineLvl w:val="0"/>
      </w:pPr>
      <w:r>
        <w:rPr>
          <w:b/>
          <w:bCs/>
        </w:rPr>
        <w:t xml:space="preserve">      </w:t>
      </w:r>
      <w:r>
        <w:rPr>
          <w:b/>
          <w:bCs/>
          <w:sz w:val="28"/>
        </w:rPr>
        <w:t>Показания к применению и режим дозирования:</w:t>
      </w:r>
      <w:r>
        <w:rPr>
          <w:b/>
          <w:bCs/>
        </w:rPr>
        <w:t xml:space="preserve"> </w:t>
      </w:r>
      <w:r>
        <w:t>препарат применяется для лечения пе</w:t>
      </w:r>
      <w:r>
        <w:t>р</w:t>
      </w:r>
      <w:r>
        <w:t>вичной артериальной гипертензии, вторичной гипертензии при заболевании почек, хронической се</w:t>
      </w:r>
      <w:r>
        <w:t>р</w:t>
      </w:r>
      <w:r>
        <w:t>дечной недостаточности и бессимптомной дисфункции левого жел</w:t>
      </w:r>
      <w:r>
        <w:t>у</w:t>
      </w:r>
      <w:r>
        <w:t xml:space="preserve">дочка. </w:t>
      </w:r>
    </w:p>
    <w:p w:rsidR="00684CC9" w:rsidRDefault="00684CC9">
      <w:pPr>
        <w:jc w:val="both"/>
        <w:outlineLvl w:val="0"/>
      </w:pPr>
      <w:r>
        <w:rPr>
          <w:u w:val="single"/>
        </w:rPr>
        <w:t>Для лечения артериальной гипертензии</w:t>
      </w:r>
      <w:r>
        <w:t xml:space="preserve"> рекомендуемая начальная доза препарата составляет 5 мг 1 раз в сутки. Корректировка дозы зависит от достижения терапевтического эффекта. Обычно поддержива</w:t>
      </w:r>
      <w:r>
        <w:t>ю</w:t>
      </w:r>
      <w:r>
        <w:t>щая доза препарата составляет 10-20 мг, в исключительных случаях 40 мг, в сутки в виде однократной дозы или разделенной на две части. Начальная доза для больных, которые до начала лечения принимали диуретики и не смогли прервать их прием, составляет 2,5 мг 1 раз в сутки.</w:t>
      </w:r>
    </w:p>
    <w:p w:rsidR="00684CC9" w:rsidRDefault="00684CC9">
      <w:pPr>
        <w:jc w:val="both"/>
        <w:outlineLvl w:val="0"/>
        <w:rPr>
          <w:lang w:val="en-US"/>
        </w:rPr>
      </w:pPr>
      <w:r>
        <w:t xml:space="preserve"> При лечении артериальной гипертензии после первоначального снижения АД возможна его стабилиз</w:t>
      </w:r>
      <w:r>
        <w:t>а</w:t>
      </w:r>
      <w:r>
        <w:t xml:space="preserve">ция на повышенных значениях, однако через несколько дней давление стабильно снижается. Это может быть обусловлено первоначальной задержкой в организме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 воды, поэтому в первые дни терапии увеличивать дозу препарата нецелесообразно. Как правило стабильный максимальный эффект достиг</w:t>
      </w:r>
      <w:r>
        <w:t>а</w:t>
      </w:r>
      <w:r>
        <w:t>ется после подбора и корректировки дозы в теч</w:t>
      </w:r>
      <w:r>
        <w:t>е</w:t>
      </w:r>
      <w:r>
        <w:t>ние 3 недель.</w:t>
      </w:r>
    </w:p>
    <w:p w:rsidR="00684CC9" w:rsidRDefault="00684CC9">
      <w:pPr>
        <w:jc w:val="both"/>
        <w:outlineLvl w:val="0"/>
        <w:rPr>
          <w:lang w:val="en-US"/>
        </w:rPr>
      </w:pPr>
    </w:p>
    <w:p w:rsidR="00684CC9" w:rsidRDefault="00684CC9">
      <w:pPr>
        <w:jc w:val="both"/>
        <w:outlineLvl w:val="0"/>
      </w:pPr>
      <w:r>
        <w:rPr>
          <w:b/>
          <w:bCs/>
          <w:sz w:val="28"/>
        </w:rPr>
        <w:t>Индапамид:</w:t>
      </w:r>
      <w:r>
        <w:rPr>
          <w:b/>
          <w:bCs/>
        </w:rPr>
        <w:t xml:space="preserve"> </w:t>
      </w:r>
      <w:r>
        <w:t>относится к ангипертензивным средствам из группы тиазидоподобных диурет</w:t>
      </w:r>
      <w:r>
        <w:t>и</w:t>
      </w:r>
      <w:r>
        <w:t>ков.</w:t>
      </w:r>
    </w:p>
    <w:p w:rsidR="00684CC9" w:rsidRDefault="00684CC9">
      <w:pPr>
        <w:jc w:val="both"/>
        <w:outlineLvl w:val="0"/>
        <w:rPr>
          <w:lang w:val="en-US"/>
        </w:rPr>
      </w:pPr>
    </w:p>
    <w:p w:rsidR="00684CC9" w:rsidRDefault="00684CC9">
      <w:pPr>
        <w:jc w:val="both"/>
        <w:outlineLvl w:val="0"/>
        <w:rPr>
          <w:lang w:val="en-US"/>
        </w:rPr>
      </w:pPr>
    </w:p>
    <w:p w:rsidR="00684CC9" w:rsidRDefault="00684CC9">
      <w:pPr>
        <w:jc w:val="both"/>
        <w:outlineLvl w:val="0"/>
      </w:pPr>
      <w:r>
        <w:rPr>
          <w:b/>
          <w:bCs/>
          <w:sz w:val="28"/>
        </w:rPr>
        <w:t>Фармакодинамика:</w:t>
      </w:r>
      <w:r>
        <w:rPr>
          <w:b/>
          <w:bCs/>
        </w:rPr>
        <w:t xml:space="preserve"> </w:t>
      </w:r>
      <w:r>
        <w:t xml:space="preserve">препарат реабсорбцию ионов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и </w:t>
      </w:r>
      <w:r>
        <w:rPr>
          <w:lang w:val="en-US"/>
        </w:rPr>
        <w:t>Cl</w:t>
      </w:r>
      <w:r>
        <w:rPr>
          <w:vertAlign w:val="superscript"/>
        </w:rPr>
        <w:t>-</w:t>
      </w:r>
      <w:r>
        <w:t xml:space="preserve">  в начальном отделе дистальных к</w:t>
      </w:r>
      <w:r>
        <w:t>а</w:t>
      </w:r>
      <w:r>
        <w:t xml:space="preserve">нальцев. При нарушении реабсорбции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  в начале дистальных канальцев больше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 поступает в к</w:t>
      </w:r>
      <w:r>
        <w:t>о</w:t>
      </w:r>
      <w:r>
        <w:t xml:space="preserve">нечный отдел дистальных канальцев, где происходит обмен </w:t>
      </w:r>
      <w:r>
        <w:rPr>
          <w:lang w:val="en-US"/>
        </w:rPr>
        <w:t>Na</w:t>
      </w:r>
      <w:r>
        <w:t xml:space="preserve"> на К и </w:t>
      </w:r>
      <w:r>
        <w:rPr>
          <w:lang w:val="en-US"/>
        </w:rPr>
        <w:t>Mg</w:t>
      </w:r>
      <w:r>
        <w:t xml:space="preserve"> . Ионы К и </w:t>
      </w:r>
      <w:r>
        <w:rPr>
          <w:lang w:val="en-US"/>
        </w:rPr>
        <w:t>Mg</w:t>
      </w:r>
      <w:r>
        <w:t xml:space="preserve"> выводятся. </w:t>
      </w:r>
      <w:r>
        <w:lastRenderedPageBreak/>
        <w:t xml:space="preserve">Вместе с ионами </w:t>
      </w:r>
      <w:r>
        <w:rPr>
          <w:lang w:val="en-US"/>
        </w:rPr>
        <w:t>Na</w:t>
      </w:r>
      <w:r>
        <w:t xml:space="preserve">, Cl, K, Mg  выводится вода. Увеличивается реабсорбция ионов </w:t>
      </w:r>
      <w:r>
        <w:rPr>
          <w:lang w:val="en-US"/>
        </w:rPr>
        <w:t>Ca</w:t>
      </w:r>
      <w:r>
        <w:t xml:space="preserve"> и поэтому сн</w:t>
      </w:r>
      <w:r>
        <w:t>и</w:t>
      </w:r>
      <w:r>
        <w:t xml:space="preserve">жается содержание ионов </w:t>
      </w:r>
      <w:r>
        <w:rPr>
          <w:lang w:val="en-US"/>
        </w:rPr>
        <w:t>Ca</w:t>
      </w:r>
      <w:r>
        <w:t xml:space="preserve"> в фильтрате; уменьшается выведение Са.  Задерживается также выведение мочевой кислоты. Концентрация мочевой кислоты в крови увеличивается (гипер</w:t>
      </w:r>
      <w:r>
        <w:t>у</w:t>
      </w:r>
      <w:r>
        <w:t>рикемия), что может приводить к обострению подагры.</w:t>
      </w:r>
    </w:p>
    <w:p w:rsidR="00684CC9" w:rsidRDefault="00684CC9">
      <w:pPr>
        <w:pStyle w:val="a8"/>
        <w:ind w:left="0"/>
      </w:pPr>
      <w:r>
        <w:t>Помимо диуретического действия, индапамид непосредственно расширяют кровеносные сосуды, сн</w:t>
      </w:r>
      <w:r>
        <w:t>и</w:t>
      </w:r>
      <w:r>
        <w:t>жает ОПСС сосудов и артериальное давление.</w:t>
      </w:r>
    </w:p>
    <w:p w:rsidR="00684CC9" w:rsidRDefault="00684CC9">
      <w:pPr>
        <w:pStyle w:val="a8"/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Фармакокинетика</w:t>
      </w:r>
      <w:proofErr w:type="spellEnd"/>
      <w:r>
        <w:rPr>
          <w:b/>
          <w:bCs/>
          <w:sz w:val="28"/>
        </w:rPr>
        <w:t>:</w:t>
      </w:r>
      <w:r>
        <w:rPr>
          <w:b/>
          <w:bCs/>
        </w:rPr>
        <w:t xml:space="preserve"> </w:t>
      </w:r>
      <w:r>
        <w:t>препарат быстро и полно всасывается в ЖКТ,</w:t>
      </w:r>
      <w:r>
        <w:rPr>
          <w:b/>
          <w:bCs/>
        </w:rPr>
        <w:t xml:space="preserve"> </w:t>
      </w:r>
      <w:r>
        <w:t>оказывает</w:t>
      </w:r>
      <w:r>
        <w:rPr>
          <w:b/>
          <w:bCs/>
        </w:rPr>
        <w:t xml:space="preserve"> </w:t>
      </w:r>
      <w:r>
        <w:t>средний диуретич</w:t>
      </w:r>
      <w:r>
        <w:t>е</w:t>
      </w:r>
      <w:r>
        <w:t>ский эффект и начинает действовать через 1-2 часа после перорального приема, имеет большую пр</w:t>
      </w:r>
      <w:r>
        <w:t>о</w:t>
      </w:r>
      <w:r>
        <w:t>должительность действия. Максимальная концентрация препарата в крови создается через 1-2 часа. Т</w:t>
      </w:r>
      <w:r>
        <w:rPr>
          <w:vertAlign w:val="subscript"/>
        </w:rPr>
        <w:t>1/2</w:t>
      </w:r>
      <w:r>
        <w:t xml:space="preserve"> – 18 часов. Связывается с белками плазмы крови на 79%.на пике концентрации в крови о</w:t>
      </w:r>
      <w:r>
        <w:t>б</w:t>
      </w:r>
      <w:r>
        <w:t>наруживается 75% неизмененного индапамида и 25% его метаболитов. Препарат не кумулирует. 60% выводится по</w:t>
      </w:r>
      <w:r>
        <w:t>ч</w:t>
      </w:r>
      <w:r>
        <w:t>ками (5% в неизмененном виде), остальное – внепочечными путями. При почечной недостаточности фармакокинетика не изменяется.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</w:pPr>
      <w:r>
        <w:rPr>
          <w:b/>
          <w:bCs/>
          <w:sz w:val="28"/>
        </w:rPr>
        <w:t>Показания к применению и режим дозирования:</w:t>
      </w:r>
      <w:r>
        <w:rPr>
          <w:sz w:val="28"/>
        </w:rPr>
        <w:t xml:space="preserve"> </w:t>
      </w:r>
      <w:r>
        <w:t>основным показанием к применению индапамида является артериальная гипертензия. Препарат назначается внутрь по 2,5 мг в сутки одн</w:t>
      </w:r>
      <w:r>
        <w:t>о</w:t>
      </w:r>
      <w:r>
        <w:t>кратно утром.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numPr>
          <w:ilvl w:val="0"/>
          <w:numId w:val="13"/>
        </w:numPr>
      </w:pPr>
      <w:r>
        <w:rPr>
          <w:b/>
          <w:bCs/>
          <w:sz w:val="28"/>
        </w:rPr>
        <w:t xml:space="preserve">Эгилок </w:t>
      </w:r>
      <w:r>
        <w:t xml:space="preserve">(метопролол): </w:t>
      </w:r>
    </w:p>
    <w:p w:rsidR="00684CC9" w:rsidRDefault="00684CC9">
      <w:pPr>
        <w:pStyle w:val="a8"/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Фармакодинамика</w:t>
      </w:r>
      <w:proofErr w:type="spellEnd"/>
      <w:r>
        <w:rPr>
          <w:b/>
          <w:bCs/>
          <w:sz w:val="28"/>
        </w:rPr>
        <w:t xml:space="preserve">: </w:t>
      </w:r>
      <w:r>
        <w:t>кардиоселективный β</w:t>
      </w:r>
      <w:r>
        <w:rPr>
          <w:vertAlign w:val="subscript"/>
        </w:rPr>
        <w:t>1</w:t>
      </w:r>
      <w:r>
        <w:t>-адреноблокатор. Не обладает собственной симпатом</w:t>
      </w:r>
      <w:r>
        <w:t>и</w:t>
      </w:r>
      <w:r>
        <w:t>метической активностью. Снижает потребность миокарда в кислороде. Удлиняет рефрактерный период. Оказывает антиангинальное, антиаритмические и гипотензивное действие. Снижение ди</w:t>
      </w:r>
      <w:r>
        <w:t>а</w:t>
      </w:r>
      <w:r>
        <w:t>столического давления достигается через несколько недель лечения. Метопролол уменьшает активность ренина пла</w:t>
      </w:r>
      <w:r>
        <w:t>з</w:t>
      </w:r>
      <w:r>
        <w:t>мы. Благодаря селективности оказывает очень н</w:t>
      </w:r>
      <w:r>
        <w:t>е</w:t>
      </w:r>
      <w:r>
        <w:t xml:space="preserve">большое влияние на реактивность бронхов. 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Фармакокинетика</w:t>
      </w:r>
      <w:proofErr w:type="spellEnd"/>
      <w:r>
        <w:rPr>
          <w:b/>
          <w:bCs/>
          <w:sz w:val="28"/>
        </w:rPr>
        <w:t>:</w:t>
      </w:r>
      <w:r>
        <w:t xml:space="preserve"> метопролол является липофильным веществом, поэтому быстро и полно всас</w:t>
      </w:r>
      <w:r>
        <w:t>ы</w:t>
      </w:r>
      <w:r>
        <w:t>вается из ЖКТ (около 90%). Может проникать через гематоэнцефалический барьер, поэтому часто во</w:t>
      </w:r>
      <w:r>
        <w:t>з</w:t>
      </w:r>
      <w:r>
        <w:t>никают такие побочные эффекты, как общая слабость, сонливость, депрессия, кошмарные сновидения, галлюцинации. Метаболизируется в печени (при первом прохождении биотрансформ</w:t>
      </w:r>
      <w:r>
        <w:t>а</w:t>
      </w:r>
      <w:r>
        <w:t>ции подвергается 65-80% вещества). Возможно уменьшение печеночного кровотока. Биотрансфо</w:t>
      </w:r>
      <w:r>
        <w:t>р</w:t>
      </w:r>
      <w:r>
        <w:t>мация с пресистемным метаболизмом особенно снижена при циррозе печени, застойной сердечной недостаточности, а также у больных пожилого возраста, поэтому таким пациентам следует назн</w:t>
      </w:r>
      <w:r>
        <w:t>а</w:t>
      </w:r>
      <w:r>
        <w:t>чать препарат в более низкой дозе и контролировать его концентрацию в плазме крови. М</w:t>
      </w:r>
      <w:r>
        <w:t>е</w:t>
      </w:r>
      <w:r>
        <w:t>топролол в значительной степени связывается с белками плазмы (на 80-93%).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</w:pPr>
      <w:r>
        <w:rPr>
          <w:b/>
          <w:bCs/>
          <w:sz w:val="28"/>
        </w:rPr>
        <w:t>Показания к применению и режим дозирования:</w:t>
      </w:r>
      <w:r>
        <w:t xml:space="preserve"> препарат показан при артериальной гипе</w:t>
      </w:r>
      <w:r>
        <w:t>р</w:t>
      </w:r>
      <w:r>
        <w:t>тензии, для профилактики приступов стенокардии, нарушениях ритма сердца (наджелудочковая тах</w:t>
      </w:r>
      <w:r>
        <w:t>и</w:t>
      </w:r>
      <w:r>
        <w:t>кардия, экстрасистолия), для вторичной профилактики после перенесенного инфаркта миока</w:t>
      </w:r>
      <w:r>
        <w:t>р</w:t>
      </w:r>
      <w:r>
        <w:t>да, при гиперкинетическом кардиальном синдроме (при гипертиреозе, нейроциркуляторной дистонии), для профилактики приступов мигр</w:t>
      </w:r>
      <w:r>
        <w:t>е</w:t>
      </w:r>
      <w:r>
        <w:t>ни.</w:t>
      </w:r>
    </w:p>
    <w:p w:rsidR="00684CC9" w:rsidRDefault="00684CC9">
      <w:pPr>
        <w:pStyle w:val="a8"/>
        <w:ind w:left="0"/>
      </w:pPr>
      <w:r>
        <w:t>Средняя суточная доза препарата 100-200 мг в сутки в 1-2 приема. Дозу можно постепенно увелич</w:t>
      </w:r>
      <w:r>
        <w:t>и</w:t>
      </w:r>
      <w:r>
        <w:t>вать до 200 мг, максимальная доза 400 мг в сутки. Гипотензивный эффект наблюдается лишь на 2-5-ый день лечения, а стабильное гипотензивное действие – через несколько недель. Дозу корригируют в течение 1-ой недели лечения в зависимости от изменений показателей ССС и побочных эффектов.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numPr>
          <w:ilvl w:val="0"/>
          <w:numId w:val="13"/>
        </w:numPr>
      </w:pPr>
      <w:r>
        <w:rPr>
          <w:b/>
          <w:bCs/>
          <w:sz w:val="28"/>
        </w:rPr>
        <w:t>Кардикет</w:t>
      </w:r>
      <w:r>
        <w:t xml:space="preserve"> (изосорбида динитрат пролонгированного действия):</w:t>
      </w:r>
    </w:p>
    <w:p w:rsidR="00684CC9" w:rsidRDefault="00684CC9">
      <w:pPr>
        <w:pStyle w:val="a8"/>
      </w:pPr>
    </w:p>
    <w:p w:rsidR="00684CC9" w:rsidRDefault="00684CC9">
      <w:pPr>
        <w:pStyle w:val="a8"/>
        <w:ind w:left="0"/>
      </w:pPr>
      <w:proofErr w:type="spellStart"/>
      <w:r>
        <w:rPr>
          <w:b/>
          <w:bCs/>
          <w:sz w:val="28"/>
        </w:rPr>
        <w:t>Фармакодинамика</w:t>
      </w:r>
      <w:proofErr w:type="spellEnd"/>
      <w:r>
        <w:rPr>
          <w:b/>
          <w:bCs/>
          <w:sz w:val="28"/>
        </w:rPr>
        <w:t xml:space="preserve">: </w:t>
      </w:r>
      <w:r>
        <w:t>изосорбида динитрат вызывает расслабление сосудистых гла</w:t>
      </w:r>
      <w:r>
        <w:t>д</w:t>
      </w:r>
      <w:r>
        <w:t>комышечных клеток в артериях, артериолах и венах. При этом посткапиллярные сосуды и большие артерии рассла</w:t>
      </w:r>
      <w:r>
        <w:t>б</w:t>
      </w:r>
      <w:r>
        <w:t>ляются в больней степени, чем резистивные артериальные с</w:t>
      </w:r>
      <w:r>
        <w:t>о</w:t>
      </w:r>
      <w:r>
        <w:t xml:space="preserve">суды. </w:t>
      </w:r>
    </w:p>
    <w:p w:rsidR="00684CC9" w:rsidRDefault="00684CC9">
      <w:pPr>
        <w:pStyle w:val="a8"/>
        <w:ind w:left="0"/>
      </w:pPr>
      <w:r>
        <w:lastRenderedPageBreak/>
        <w:t>Дилатация сосудов посткапиллярного русла ведет к венозному депонированию крови, что в свою оч</w:t>
      </w:r>
      <w:r>
        <w:t>е</w:t>
      </w:r>
      <w:r>
        <w:t>редь уменьшает венозный возврат крови к сердцу. В результате, давление наполнения и напряжения стенки левого желудочка уменьшается (уменьшение предн</w:t>
      </w:r>
      <w:r>
        <w:t>а</w:t>
      </w:r>
      <w:r>
        <w:t xml:space="preserve">грузки), и снижается потребность миокарда в энергии и кислороде.  </w:t>
      </w:r>
    </w:p>
    <w:p w:rsidR="00684CC9" w:rsidRDefault="00684CC9">
      <w:pPr>
        <w:pStyle w:val="a8"/>
        <w:ind w:left="0"/>
      </w:pPr>
      <w:r>
        <w:t>Понижение давления наполнения и уменьшенное напряжение стенки способствует увеличению капи</w:t>
      </w:r>
      <w:r>
        <w:t>л</w:t>
      </w:r>
      <w:r>
        <w:t>лярного кровотока и открытию ранее закупоренных интрамуральных сосудов, а также улучшению снабжения кислородом ишемизмрованной субэндокардиал</w:t>
      </w:r>
      <w:r>
        <w:t>ь</w:t>
      </w:r>
      <w:r>
        <w:t>ной области.</w:t>
      </w:r>
    </w:p>
    <w:p w:rsidR="00684CC9" w:rsidRDefault="00684CC9">
      <w:pPr>
        <w:pStyle w:val="a8"/>
        <w:ind w:left="0"/>
      </w:pPr>
      <w:r>
        <w:t>Дилатация прекапиллярных сосудов ведет к уменьшению систолического аортального давления и п</w:t>
      </w:r>
      <w:r>
        <w:t>е</w:t>
      </w:r>
      <w:r>
        <w:t>риферического сосудистого сопротивления (уменьшение постнагрузки). Вследствие чего умен</w:t>
      </w:r>
      <w:r>
        <w:t>ь</w:t>
      </w:r>
      <w:r>
        <w:t>шается сердечный выброс левого желудочка и потребность ми</w:t>
      </w:r>
      <w:r>
        <w:t>о</w:t>
      </w:r>
      <w:r>
        <w:t>карда в кислороде.</w:t>
      </w:r>
    </w:p>
    <w:p w:rsidR="00684CC9" w:rsidRDefault="00684CC9">
      <w:pPr>
        <w:pStyle w:val="a8"/>
        <w:ind w:left="0"/>
      </w:pPr>
      <w:r>
        <w:t>Прямая дилатация коронарных сосудов эксцентрических коронарных стенозов, а также небольшое уменьшение сопротивления коронарных сосудов вызывают улучшение перфузии миокарда, что в</w:t>
      </w:r>
      <w:r>
        <w:t>е</w:t>
      </w:r>
      <w:r>
        <w:t>дет к улучшению снабжения миокарда кислор</w:t>
      </w:r>
      <w:r>
        <w:t>о</w:t>
      </w:r>
      <w:r>
        <w:t xml:space="preserve">дом.  </w:t>
      </w:r>
    </w:p>
    <w:p w:rsidR="00684CC9" w:rsidRDefault="00684CC9">
      <w:pPr>
        <w:pStyle w:val="a8"/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Фармакокинетика</w:t>
      </w:r>
      <w:proofErr w:type="spellEnd"/>
      <w:r>
        <w:rPr>
          <w:b/>
          <w:bCs/>
          <w:sz w:val="28"/>
        </w:rPr>
        <w:t xml:space="preserve">: </w:t>
      </w:r>
      <w:r>
        <w:t>изосорбида динитрат при сублингвальном применении всасыв</w:t>
      </w:r>
      <w:r>
        <w:t>а</w:t>
      </w:r>
      <w:r>
        <w:t>ется быстро и полно. Максимальная концентрация в крови при этом наступает через 15-30 минут и составляет 10-20 нг/мл. при приеме внутрь действие начинается через 10-60 мин. Биодоступность препарата при приеме внутрь невелика из-за интенсивного метаболизма в печени при первом прохождении. Т</w:t>
      </w:r>
      <w:r>
        <w:rPr>
          <w:vertAlign w:val="subscript"/>
        </w:rPr>
        <w:t>1/2</w:t>
      </w:r>
      <w:r>
        <w:t xml:space="preserve"> при перорал</w:t>
      </w:r>
      <w:r>
        <w:t>ь</w:t>
      </w:r>
      <w:r>
        <w:t>ном приеме составляет 4 ч</w:t>
      </w:r>
      <w:r>
        <w:t>а</w:t>
      </w:r>
      <w:r>
        <w:t>са. Активные метаболиты изосорбида динитрата имеют больший Т</w:t>
      </w:r>
      <w:r>
        <w:rPr>
          <w:vertAlign w:val="subscript"/>
        </w:rPr>
        <w:t>1/2</w:t>
      </w:r>
      <w:r>
        <w:t>, чем исходное вещество. Продолжительность действия препарата – 2-6 ч. максимальный эффект развив</w:t>
      </w:r>
      <w:r>
        <w:t>а</w:t>
      </w:r>
      <w:r>
        <w:t>ется через 1-3 часа.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</w:pPr>
      <w:r>
        <w:rPr>
          <w:b/>
          <w:bCs/>
          <w:sz w:val="28"/>
        </w:rPr>
        <w:t>Показания к применению и режим дозирования:</w:t>
      </w:r>
      <w:r>
        <w:t xml:space="preserve"> препарат назначается для лечения ИБС,  для профилактики приступов стенокардии, для последующего лечения инфаркта миокарда (противоп</w:t>
      </w:r>
      <w:r>
        <w:t>о</w:t>
      </w:r>
      <w:r>
        <w:t>казан при остром инфаркте миокарда!), при легочной гипертензии, для лечения хронической з</w:t>
      </w:r>
      <w:r>
        <w:t>а</w:t>
      </w:r>
      <w:r>
        <w:t>стойной сердечной недостаточности в сочетании с сердечными гликозидами. Дозировка зависит главным обр</w:t>
      </w:r>
      <w:r>
        <w:t>а</w:t>
      </w:r>
      <w:r>
        <w:t>зом от стадии заболевания и индивидуальной потребности в нитратах. Кардикет р</w:t>
      </w:r>
      <w:r>
        <w:t>е</w:t>
      </w:r>
      <w:r>
        <w:t>тард 20 мг 2-3 раза в день по 1 таблетке. Кардикет ретард 40 мг 2 раза в день по 1 таблетке. Кардикет ретард 60 мг 1 таблетка в день или 2 раза в день по 1 таблетке. Кардикет ретард следует принимать после еды, не разжевывая и запивая небольшим количеством жидкости. При назначении больше одной таблетки в день, вторую таблетку можно принимать только через 8 часов после первой для обеспечения полного действия пр</w:t>
      </w:r>
      <w:r>
        <w:t>е</w:t>
      </w:r>
      <w:r>
        <w:t>парата (предупреждение нитратной толерантности).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  <w:rPr>
          <w:lang w:val="en-US"/>
        </w:rPr>
      </w:pPr>
    </w:p>
    <w:p w:rsidR="00684CC9" w:rsidRDefault="00684CC9">
      <w:pPr>
        <w:pStyle w:val="a8"/>
        <w:numPr>
          <w:ilvl w:val="0"/>
          <w:numId w:val="1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Ацетилсалициловая кислота: </w:t>
      </w:r>
    </w:p>
    <w:p w:rsidR="00684CC9" w:rsidRDefault="00684CC9">
      <w:pPr>
        <w:pStyle w:val="a8"/>
        <w:rPr>
          <w:b/>
          <w:bCs/>
          <w:sz w:val="28"/>
        </w:rPr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Фармакодинамика</w:t>
      </w:r>
      <w:proofErr w:type="spellEnd"/>
      <w:r>
        <w:rPr>
          <w:b/>
          <w:bCs/>
          <w:sz w:val="28"/>
        </w:rPr>
        <w:t xml:space="preserve">: </w:t>
      </w:r>
      <w:r>
        <w:t>ацетилсалициловая кислота стойко ингибирует циклооксигеназу за счет ацет</w:t>
      </w:r>
      <w:r>
        <w:t>и</w:t>
      </w:r>
      <w:r>
        <w:t>лирования ее активного центра, приводя к подавлению синтеза тромбоксана А</w:t>
      </w:r>
      <w:r>
        <w:rPr>
          <w:vertAlign w:val="subscript"/>
        </w:rPr>
        <w:t>2</w:t>
      </w:r>
      <w:r>
        <w:t xml:space="preserve"> – эндогенного соедин</w:t>
      </w:r>
      <w:r>
        <w:t>е</w:t>
      </w:r>
      <w:r>
        <w:t>ния, способствующего агрегации тромбоцитов и образованию тромбов. Этот эффект необратим и с</w:t>
      </w:r>
      <w:r>
        <w:t>о</w:t>
      </w:r>
      <w:r>
        <w:t>храняется в течение всей жизни тромбоцита. Кратковременно угнетает синтез простациклина в сосуд</w:t>
      </w:r>
      <w:r>
        <w:t>и</w:t>
      </w:r>
      <w:r>
        <w:t>стой стенке. Таким образом, препарат выраженно ингибирует агрегацию тромбоцитов, угнетает их адг</w:t>
      </w:r>
      <w:r>
        <w:t>е</w:t>
      </w:r>
      <w:r>
        <w:t>зию. На продолжительность жизни тромбоцитов он практически не влияет. По мере увеличения ко</w:t>
      </w:r>
      <w:r>
        <w:t>н</w:t>
      </w:r>
      <w:r>
        <w:t>центрации препарата в плазме крови последовательно развиваются антиагрегантный эффект, затем ж</w:t>
      </w:r>
      <w:r>
        <w:t>а</w:t>
      </w:r>
      <w:r>
        <w:t>ропонижающий и анальгезирующий, а далее урикозуричесский и противовоспал</w:t>
      </w:r>
      <w:r>
        <w:t>и</w:t>
      </w:r>
      <w:r>
        <w:t>тельный эффекты.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  <w:rPr>
          <w:lang w:val="en-US"/>
        </w:rPr>
      </w:pPr>
      <w:proofErr w:type="spellStart"/>
      <w:r>
        <w:rPr>
          <w:b/>
          <w:bCs/>
          <w:sz w:val="28"/>
        </w:rPr>
        <w:t>Фармакокинетика</w:t>
      </w:r>
      <w:proofErr w:type="spellEnd"/>
      <w:r>
        <w:rPr>
          <w:b/>
          <w:bCs/>
          <w:sz w:val="28"/>
        </w:rPr>
        <w:t>:</w:t>
      </w:r>
      <w:r>
        <w:t xml:space="preserve"> препарат назначается внутрь. Абсорбция преимущественно происходит в вер</w:t>
      </w:r>
      <w:r>
        <w:t>х</w:t>
      </w:r>
      <w:r>
        <w:t>них отделах тонкой кишки (80%). Биодоступность зависит от абсорбции и составляет обычно 70%. В течение первого часа метаболизируется в печени на 90%. Т</w:t>
      </w:r>
      <w:r>
        <w:rPr>
          <w:vertAlign w:val="subscript"/>
        </w:rPr>
        <w:t>1/2</w:t>
      </w:r>
      <w:r>
        <w:t>=0,5 ч. элиминация осуществляется почк</w:t>
      </w:r>
      <w:r>
        <w:t>а</w:t>
      </w:r>
      <w:r>
        <w:t>ми на 80% (10-60% в неизмененном виде) и на 20% через ЖКТ и легкие.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ind w:left="0"/>
      </w:pPr>
      <w:r>
        <w:rPr>
          <w:b/>
          <w:bCs/>
          <w:sz w:val="28"/>
        </w:rPr>
        <w:t>Показания к применению и режим дозирования:</w:t>
      </w:r>
      <w:r>
        <w:t xml:space="preserve"> препарат в качестве антиагрегантного средства с первых часов инфаркта миокарда, для профилактики инфаркта миокарда, при нестабил</w:t>
      </w:r>
      <w:r>
        <w:t>ь</w:t>
      </w:r>
      <w:r>
        <w:t>ной стенокардии, после коронарной ангиоплостки или стенирования, при нарушениях мозгового кровоо</w:t>
      </w:r>
      <w:r>
        <w:t>б</w:t>
      </w:r>
      <w:r>
        <w:t>ращения по ишемическому типу, для профилактики тромбообразования при мерцательной аритмии предсердий в случае противоп</w:t>
      </w:r>
      <w:r>
        <w:t>о</w:t>
      </w:r>
      <w:r>
        <w:t xml:space="preserve">казаний к назначению антикоагулянтов. </w:t>
      </w:r>
    </w:p>
    <w:p w:rsidR="00684CC9" w:rsidRDefault="00684CC9">
      <w:pPr>
        <w:pStyle w:val="a8"/>
        <w:ind w:left="0"/>
      </w:pPr>
      <w:r>
        <w:lastRenderedPageBreak/>
        <w:t>В дозе 300-400 мг ацетилсалициловая кислота блокирует агрегацию тромбоцитов в течение 96 ч, нео</w:t>
      </w:r>
      <w:r>
        <w:t>б</w:t>
      </w:r>
      <w:r>
        <w:t>ратимое действиена циклооксигеназу может возникнуть уже при дозе 180 мг/сут. В дозе 1000-1500 мг/сут значительно ингибирует функции тромбоцитов. В суточной дозе 2-3 г ацетилсалициловая кисл</w:t>
      </w:r>
      <w:r>
        <w:t>о</w:t>
      </w:r>
      <w:r>
        <w:t>та незначительно усиливает фибринолитическую активность и снижает синтез фибриног</w:t>
      </w:r>
      <w:r>
        <w:t>е</w:t>
      </w:r>
      <w:r>
        <w:t>на. В качестве антиагрегантного средства ацетилсалициловую кислоту применяют следующим образом: в первые су</w:t>
      </w:r>
      <w:r>
        <w:t>т</w:t>
      </w:r>
      <w:r>
        <w:t>ки по 0,5 г 2 раза в сутки, в последующем по 0,25 г ежедневно. Прием ацетилсалициловой кислоты в кач</w:t>
      </w:r>
      <w:r>
        <w:t>е</w:t>
      </w:r>
      <w:r>
        <w:t>стве профилактического антиагрегантного средства продолжают несколько месяцев, а иногда и лет.</w:t>
      </w: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rPr>
          <w:lang w:val="en-US"/>
        </w:rPr>
      </w:pPr>
    </w:p>
    <w:p w:rsidR="00684CC9" w:rsidRDefault="00684CC9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</w:t>
      </w:r>
      <w:r>
        <w:rPr>
          <w:b/>
          <w:bCs/>
          <w:sz w:val="32"/>
        </w:rPr>
        <w:t xml:space="preserve">. Прогнозируемые побочные эффекты лекарственных препаратов, оценка вероятности их развития, способы коррекции, методы оценки безопасности проводимой у больного </w:t>
      </w:r>
    </w:p>
    <w:p w:rsidR="00684CC9" w:rsidRDefault="00684CC9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фарм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котерапии:</w:t>
      </w:r>
    </w:p>
    <w:p w:rsidR="00684CC9" w:rsidRDefault="00684CC9">
      <w:pPr>
        <w:ind w:left="284" w:firstLine="709"/>
        <w:jc w:val="both"/>
        <w:rPr>
          <w:b/>
          <w:bCs/>
          <w:sz w:val="32"/>
          <w:lang w:val="en-US"/>
        </w:rPr>
      </w:pPr>
    </w:p>
    <w:p w:rsidR="00684CC9" w:rsidRDefault="00684CC9">
      <w:pPr>
        <w:ind w:firstLine="1"/>
        <w:jc w:val="both"/>
        <w:rPr>
          <w:bCs/>
        </w:rPr>
      </w:pPr>
      <w:r>
        <w:rPr>
          <w:bCs/>
        </w:rPr>
        <w:t>При применении</w:t>
      </w:r>
      <w:r>
        <w:rPr>
          <w:b/>
        </w:rPr>
        <w:t xml:space="preserve"> энапа, </w:t>
      </w:r>
      <w:r>
        <w:rPr>
          <w:bCs/>
        </w:rPr>
        <w:t>возможно развитие следующих побочных эффектов: угнетение ЦНС, голов</w:t>
      </w:r>
      <w:r>
        <w:rPr>
          <w:bCs/>
        </w:rPr>
        <w:t>о</w:t>
      </w:r>
      <w:r>
        <w:rPr>
          <w:bCs/>
        </w:rPr>
        <w:t>кружения, головная боль, гипотензия (в т. ч. ортостатическая), инфаркт миокарда, ОНМК (как сле</w:t>
      </w:r>
      <w:r>
        <w:rPr>
          <w:bCs/>
        </w:rPr>
        <w:t>д</w:t>
      </w:r>
      <w:r>
        <w:rPr>
          <w:bCs/>
        </w:rPr>
        <w:t>ствие гипотонии), нарушение ритма сердца (предсер</w:t>
      </w:r>
      <w:r>
        <w:rPr>
          <w:bCs/>
        </w:rPr>
        <w:t>д</w:t>
      </w:r>
      <w:r>
        <w:rPr>
          <w:bCs/>
        </w:rPr>
        <w:t>ная тахи - /брадикардия, мерцательная аритмия), приступ стенокардии, ТЭЛА, бронхоспазм, непродуктивный кашель, нарушение функции печени, ди</w:t>
      </w:r>
      <w:r>
        <w:rPr>
          <w:bCs/>
        </w:rPr>
        <w:t>с</w:t>
      </w:r>
      <w:r>
        <w:rPr>
          <w:bCs/>
        </w:rPr>
        <w:t>функция почек, олигурия, нейтропения, лейкопения, тромбоцитопения, аллергические реакции (анаф</w:t>
      </w:r>
      <w:r>
        <w:rPr>
          <w:bCs/>
        </w:rPr>
        <w:t>и</w:t>
      </w:r>
      <w:r>
        <w:rPr>
          <w:bCs/>
        </w:rPr>
        <w:t>ла</w:t>
      </w:r>
      <w:r>
        <w:rPr>
          <w:bCs/>
        </w:rPr>
        <w:t>к</w:t>
      </w:r>
      <w:r>
        <w:rPr>
          <w:bCs/>
        </w:rPr>
        <w:t>тический шок, отек Квинке, крапивница и др.).</w:t>
      </w:r>
    </w:p>
    <w:p w:rsidR="00684CC9" w:rsidRDefault="00684CC9">
      <w:pPr>
        <w:pStyle w:val="a8"/>
        <w:ind w:left="0"/>
      </w:pPr>
      <w:r>
        <w:rPr>
          <w:bCs/>
        </w:rPr>
        <w:t>Для предупреждения развития нежелательных побочных эффектов (НПЭ) необходимо мониторир</w:t>
      </w:r>
      <w:r>
        <w:rPr>
          <w:bCs/>
        </w:rPr>
        <w:t>о</w:t>
      </w:r>
      <w:r>
        <w:rPr>
          <w:bCs/>
        </w:rPr>
        <w:t>вать АД, снизить дозу препарата или его отменить, периодически контролировать концентрацию трансам</w:t>
      </w:r>
      <w:r>
        <w:rPr>
          <w:bCs/>
        </w:rPr>
        <w:t>и</w:t>
      </w:r>
      <w:r>
        <w:rPr>
          <w:bCs/>
        </w:rPr>
        <w:t>наз и щелочной фосфатазы в плазме крови, при повышении их содержания лечение отм</w:t>
      </w:r>
      <w:r>
        <w:rPr>
          <w:bCs/>
        </w:rPr>
        <w:t>е</w:t>
      </w:r>
      <w:r>
        <w:rPr>
          <w:bCs/>
        </w:rPr>
        <w:t>няют.</w:t>
      </w:r>
    </w:p>
    <w:p w:rsidR="00684CC9" w:rsidRDefault="00684CC9">
      <w:pPr>
        <w:pStyle w:val="a8"/>
      </w:pPr>
      <w:r>
        <w:t xml:space="preserve"> </w:t>
      </w:r>
    </w:p>
    <w:p w:rsidR="00684CC9" w:rsidRDefault="00684CC9">
      <w:pPr>
        <w:pStyle w:val="2"/>
        <w:ind w:left="0"/>
        <w:rPr>
          <w:b w:val="0"/>
          <w:bCs w:val="0"/>
        </w:rPr>
      </w:pPr>
      <w:r>
        <w:t xml:space="preserve">Индапамид </w:t>
      </w:r>
      <w:r>
        <w:rPr>
          <w:b w:val="0"/>
          <w:bCs w:val="0"/>
        </w:rPr>
        <w:t>может вызвать развитие гипокалиемии, головную боль, головокружение, мыше</w:t>
      </w:r>
      <w:r>
        <w:rPr>
          <w:b w:val="0"/>
          <w:bCs w:val="0"/>
        </w:rPr>
        <w:t>ч</w:t>
      </w:r>
      <w:r>
        <w:rPr>
          <w:b w:val="0"/>
          <w:bCs w:val="0"/>
        </w:rPr>
        <w:t>ные судороги, тошноту, отсутствие аппетита, понос, запор, диспепсию, кожные высыпания. Возможно ра</w:t>
      </w:r>
      <w:r>
        <w:rPr>
          <w:b w:val="0"/>
          <w:bCs w:val="0"/>
        </w:rPr>
        <w:t>з</w:t>
      </w:r>
      <w:r>
        <w:rPr>
          <w:b w:val="0"/>
          <w:bCs w:val="0"/>
        </w:rPr>
        <w:t>витие ортостатической гипотензии, сердцебиения. Может возникнуть повышение активности печено</w:t>
      </w:r>
      <w:r>
        <w:rPr>
          <w:b w:val="0"/>
          <w:bCs w:val="0"/>
        </w:rPr>
        <w:t>ч</w:t>
      </w:r>
      <w:r>
        <w:rPr>
          <w:b w:val="0"/>
          <w:bCs w:val="0"/>
        </w:rPr>
        <w:t>ных ферментов, тромбоцитопения, гипонатриемия, метаболический алкалоз, гиперкальциемия, пов</w:t>
      </w:r>
      <w:r>
        <w:rPr>
          <w:b w:val="0"/>
          <w:bCs w:val="0"/>
        </w:rPr>
        <w:t>ы</w:t>
      </w:r>
      <w:r>
        <w:rPr>
          <w:b w:val="0"/>
          <w:bCs w:val="0"/>
        </w:rPr>
        <w:t>шение уровня  мочевой кислоты, гиперкальциемия, нарушение функции почек, чрезме</w:t>
      </w:r>
      <w:r>
        <w:rPr>
          <w:b w:val="0"/>
          <w:bCs w:val="0"/>
        </w:rPr>
        <w:t>р</w:t>
      </w:r>
      <w:r>
        <w:rPr>
          <w:b w:val="0"/>
          <w:bCs w:val="0"/>
        </w:rPr>
        <w:t>ный диурез при приеме более 2,5 мг в сутки. Во время приема препарата необходимо контролировать содержание калия и мочевой кислоты в сыворотке крови у пожилых, а также при подагре, гиперальдостеронизме, при о</w:t>
      </w:r>
      <w:r>
        <w:rPr>
          <w:b w:val="0"/>
          <w:bCs w:val="0"/>
        </w:rPr>
        <w:t>д</w:t>
      </w:r>
      <w:r>
        <w:rPr>
          <w:b w:val="0"/>
          <w:bCs w:val="0"/>
        </w:rPr>
        <w:t>новременном использовании сердечных гликозидов. Осторожно применять препарат при нарушении функции почек и при гиперпаратиреоидизме.</w:t>
      </w:r>
    </w:p>
    <w:p w:rsidR="00684CC9" w:rsidRDefault="00684CC9"/>
    <w:p w:rsidR="00684CC9" w:rsidRDefault="00684CC9">
      <w:pPr>
        <w:jc w:val="both"/>
      </w:pPr>
      <w:r>
        <w:rPr>
          <w:b/>
          <w:bCs/>
        </w:rPr>
        <w:t xml:space="preserve">            Эгилок</w:t>
      </w:r>
      <w:r>
        <w:t xml:space="preserve"> (метопролол) может вызвать развитие таких побочных эффектов, как брадикардия, се</w:t>
      </w:r>
      <w:r>
        <w:t>р</w:t>
      </w:r>
      <w:r>
        <w:t>дечная недостаточность, артериальная гипотензия, нарушение сердечной пров</w:t>
      </w:r>
      <w:r>
        <w:t>о</w:t>
      </w:r>
      <w:r>
        <w:t>димости, бронхоспазм, периферическая вазоконстрикция, нарушения со стороны ЖКТ, сл</w:t>
      </w:r>
      <w:r>
        <w:t>а</w:t>
      </w:r>
      <w:r>
        <w:t>бость, нарушения сна. Возможно появления сыпи, ксерофтальмии, обострение псориаза. При стенокардии необходимо избегать резкой отмены препарата. При заболеваниях печени и почек необходимо снизить дозу препарата. Аллергия в анамнезе может увеличить чувс</w:t>
      </w:r>
      <w:r>
        <w:t>т</w:t>
      </w:r>
      <w:r>
        <w:t>вительность к аллергенам и утяжелить аллергические реакции.</w:t>
      </w:r>
    </w:p>
    <w:p w:rsidR="00684CC9" w:rsidRDefault="00684CC9">
      <w:pPr>
        <w:pStyle w:val="a5"/>
        <w:tabs>
          <w:tab w:val="clear" w:pos="4677"/>
          <w:tab w:val="clear" w:pos="9355"/>
        </w:tabs>
      </w:pPr>
    </w:p>
    <w:p w:rsidR="00684CC9" w:rsidRDefault="00684CC9">
      <w:pPr>
        <w:jc w:val="both"/>
      </w:pPr>
      <w:r>
        <w:t xml:space="preserve">          В начале лечения нитратами </w:t>
      </w:r>
      <w:r>
        <w:rPr>
          <w:b/>
          <w:bCs/>
        </w:rPr>
        <w:t>(Кардикет)</w:t>
      </w:r>
      <w:r>
        <w:t xml:space="preserve"> может появиться головная боль, но обычно через н</w:t>
      </w:r>
      <w:r>
        <w:t>е</w:t>
      </w:r>
      <w:r>
        <w:t>сколько дней при непрекращающемся приеме она проходит. Понижение артериального давления, со</w:t>
      </w:r>
      <w:r>
        <w:t>н</w:t>
      </w:r>
      <w:r>
        <w:t>ливость и увеличение частоты сердечных сокращений могут отмечаться в первые дни л</w:t>
      </w:r>
      <w:r>
        <w:t>е</w:t>
      </w:r>
      <w:r>
        <w:t>чения. Другими возможными побочными эффектами могут быть тошнота, рвота, эритема. Кардикет не подходит для л</w:t>
      </w:r>
      <w:r>
        <w:t>е</w:t>
      </w:r>
      <w:r>
        <w:t>чения острых приступов стенокардии. У пац</w:t>
      </w:r>
      <w:r>
        <w:t>и</w:t>
      </w:r>
      <w:r>
        <w:t>ентов с лабильным кровообращением после первой дозы препарата могут появиться си</w:t>
      </w:r>
      <w:r>
        <w:t>м</w:t>
      </w:r>
      <w:r>
        <w:t xml:space="preserve">птомы сосудистого коллапса. </w:t>
      </w:r>
    </w:p>
    <w:p w:rsidR="00684CC9" w:rsidRDefault="00684CC9">
      <w:pPr>
        <w:jc w:val="both"/>
      </w:pPr>
    </w:p>
    <w:p w:rsidR="00684CC9" w:rsidRDefault="00684CC9">
      <w:pPr>
        <w:jc w:val="both"/>
      </w:pPr>
      <w:r>
        <w:t xml:space="preserve">         При приеме </w:t>
      </w:r>
      <w:r>
        <w:rPr>
          <w:b/>
          <w:bCs/>
        </w:rPr>
        <w:t>ацетилсалициловой кислоты</w:t>
      </w:r>
      <w:r>
        <w:t xml:space="preserve">  основными побочными эффектами является ульцер</w:t>
      </w:r>
      <w:r>
        <w:t>о</w:t>
      </w:r>
      <w:r>
        <w:t>генное действие на ЖКТ, желудочно-кишечные кровотечения, геморрагические проявления, бронхо</w:t>
      </w:r>
      <w:r>
        <w:t>с</w:t>
      </w:r>
      <w:r>
        <w:t>пазм, аллергические реакции. Предпочтительнее принимать ацетилсалициловую кислоту в виде табл</w:t>
      </w:r>
      <w:r>
        <w:t>е</w:t>
      </w:r>
      <w:r>
        <w:t>ток, покрытых оболочкой, растворимой в кишечнике.</w:t>
      </w:r>
    </w:p>
    <w:p w:rsidR="00684CC9" w:rsidRDefault="00684CC9">
      <w:pPr>
        <w:jc w:val="both"/>
        <w:rPr>
          <w:lang w:val="en-US"/>
        </w:rPr>
      </w:pPr>
    </w:p>
    <w:p w:rsidR="00684CC9" w:rsidRDefault="00684CC9">
      <w:pPr>
        <w:jc w:val="both"/>
        <w:rPr>
          <w:lang w:val="en-US"/>
        </w:rPr>
      </w:pPr>
    </w:p>
    <w:p w:rsidR="00684CC9" w:rsidRDefault="00684CC9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lastRenderedPageBreak/>
        <w:t>VI</w:t>
      </w:r>
      <w:r>
        <w:rPr>
          <w:b/>
          <w:bCs/>
          <w:sz w:val="32"/>
        </w:rPr>
        <w:t xml:space="preserve">. Возможное лекарственное взаимодействие у данного </w:t>
      </w:r>
    </w:p>
    <w:p w:rsidR="00684CC9" w:rsidRDefault="00684C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больн</w:t>
      </w:r>
      <w:r>
        <w:rPr>
          <w:b/>
          <w:bCs/>
          <w:sz w:val="32"/>
        </w:rPr>
        <w:t>о</w:t>
      </w:r>
      <w:r>
        <w:rPr>
          <w:b/>
          <w:bCs/>
          <w:sz w:val="32"/>
        </w:rPr>
        <w:t>го:</w:t>
      </w:r>
    </w:p>
    <w:p w:rsidR="00684CC9" w:rsidRDefault="00684CC9">
      <w:pPr>
        <w:jc w:val="both"/>
      </w:pPr>
    </w:p>
    <w:p w:rsidR="00684CC9" w:rsidRDefault="00684CC9">
      <w:pPr>
        <w:jc w:val="both"/>
      </w:pPr>
      <w:r>
        <w:t>Данной пациентке одновременно назначены такие препараты, как Энап, Индапамид, Эгилок (метопр</w:t>
      </w:r>
      <w:r>
        <w:t>о</w:t>
      </w:r>
      <w:r>
        <w:t>лол), Кардикет (изосорбида динитрат) и ацетилсалициловая кислота. Взаимодейс</w:t>
      </w:r>
      <w:r>
        <w:t>т</w:t>
      </w:r>
      <w:r>
        <w:t>вие Энапа, который является ингибитором АПФ, с диуретиками, например с Индапамидам, увеличивается риск резкого снижения АД, поражения почек. Β-адреноблокаторы (метопр</w:t>
      </w:r>
      <w:r>
        <w:t>о</w:t>
      </w:r>
      <w:r>
        <w:t>лол) усиливают гипотензивный эффект Энапа. Индапамид в сочетании с ЛС, вызывающими гипокалиемию, увеличивает вероятность развития гипокалиемии. Возможно усиление гип</w:t>
      </w:r>
      <w:r>
        <w:t>о</w:t>
      </w:r>
      <w:r>
        <w:t xml:space="preserve">тензивного эффекта Кардикета при одновременном приеме с гипотензивными препаратами (Энап), β-адреноблокаторами (метопролол). </w:t>
      </w:r>
    </w:p>
    <w:p w:rsidR="00684CC9" w:rsidRDefault="00684CC9">
      <w:pPr>
        <w:jc w:val="both"/>
      </w:pPr>
    </w:p>
    <w:p w:rsidR="00684CC9" w:rsidRDefault="00684CC9">
      <w:pPr>
        <w:jc w:val="center"/>
        <w:rPr>
          <w:b/>
          <w:bCs/>
          <w:sz w:val="32"/>
          <w:lang w:val="en-US"/>
        </w:rPr>
      </w:pPr>
      <w:r>
        <w:rPr>
          <w:b/>
          <w:bCs/>
          <w:sz w:val="32"/>
          <w:lang w:val="en-US"/>
        </w:rPr>
        <w:t>VII.</w:t>
      </w:r>
      <w:r>
        <w:rPr>
          <w:b/>
          <w:bCs/>
          <w:sz w:val="32"/>
        </w:rPr>
        <w:t xml:space="preserve"> Заключение:</w:t>
      </w:r>
    </w:p>
    <w:p w:rsidR="00684CC9" w:rsidRDefault="00684CC9">
      <w:pPr>
        <w:jc w:val="center"/>
        <w:rPr>
          <w:b/>
          <w:bCs/>
          <w:sz w:val="32"/>
          <w:lang w:val="en-US"/>
        </w:rPr>
      </w:pPr>
    </w:p>
    <w:p w:rsidR="00684CC9" w:rsidRDefault="00684CC9">
      <w:pPr>
        <w:ind w:firstLine="709"/>
        <w:jc w:val="both"/>
        <w:rPr>
          <w:bCs/>
        </w:rPr>
      </w:pPr>
      <w:r>
        <w:rPr>
          <w:bCs/>
        </w:rPr>
        <w:t>Исходя, из того, что комбинация назначенных больной препаратов является потенциально опа</w:t>
      </w:r>
      <w:r>
        <w:rPr>
          <w:bCs/>
        </w:rPr>
        <w:t>с</w:t>
      </w:r>
      <w:r>
        <w:rPr>
          <w:bCs/>
        </w:rPr>
        <w:t>ной, необходимо, пересмотреть режим их дозирования или назначить более безопасные препар</w:t>
      </w:r>
      <w:r>
        <w:rPr>
          <w:bCs/>
        </w:rPr>
        <w:t>а</w:t>
      </w:r>
      <w:r>
        <w:rPr>
          <w:bCs/>
        </w:rPr>
        <w:t xml:space="preserve">ты. </w:t>
      </w:r>
    </w:p>
    <w:p w:rsidR="00684CC9" w:rsidRDefault="00684CC9">
      <w:pPr>
        <w:ind w:firstLine="709"/>
        <w:jc w:val="both"/>
      </w:pPr>
      <w:r>
        <w:rPr>
          <w:bCs/>
        </w:rPr>
        <w:t>Учитывая тот факт, что пациентке назначена ацетилсалициловая кислота, необходимо регуля</w:t>
      </w:r>
      <w:r>
        <w:rPr>
          <w:bCs/>
        </w:rPr>
        <w:t>р</w:t>
      </w:r>
      <w:r>
        <w:rPr>
          <w:bCs/>
        </w:rPr>
        <w:t>ное наблюдение у гастроэнтеролога, проведение эзофагогастродуоденоскопии. Учитывая данные иссл</w:t>
      </w:r>
      <w:r>
        <w:rPr>
          <w:bCs/>
        </w:rPr>
        <w:t>е</w:t>
      </w:r>
      <w:r>
        <w:rPr>
          <w:bCs/>
        </w:rPr>
        <w:t>дований эффективности ацетилсалициловой кислоты как средства профилактики инфаркта миокарда и опасность побочных эффектов данного препарата, препарат можно исключить из схемы лечения.</w:t>
      </w:r>
    </w:p>
    <w:p w:rsidR="00684CC9" w:rsidRDefault="00684CC9">
      <w:pPr>
        <w:ind w:firstLine="709"/>
        <w:jc w:val="both"/>
        <w:rPr>
          <w:bCs/>
        </w:rPr>
      </w:pPr>
      <w:r>
        <w:rPr>
          <w:bCs/>
        </w:rPr>
        <w:t>В целом, схему назначенных препаратов можно считать рациональной, достаточно хорошо под</w:t>
      </w:r>
      <w:r>
        <w:rPr>
          <w:bCs/>
        </w:rPr>
        <w:t>о</w:t>
      </w:r>
      <w:r>
        <w:rPr>
          <w:bCs/>
        </w:rPr>
        <w:t>бранной, однако, учитывая взаимоусиливающий эффект препаратов и их потенциально опасную комб</w:t>
      </w:r>
      <w:r>
        <w:rPr>
          <w:bCs/>
        </w:rPr>
        <w:t>и</w:t>
      </w:r>
      <w:r>
        <w:rPr>
          <w:bCs/>
        </w:rPr>
        <w:t>нацию, вероятно целесообразно пересмотреть режим дозирования, а также тщательно мониторир</w:t>
      </w:r>
      <w:r>
        <w:rPr>
          <w:bCs/>
        </w:rPr>
        <w:t>о</w:t>
      </w:r>
      <w:r>
        <w:rPr>
          <w:bCs/>
        </w:rPr>
        <w:t>вать АД, количество электролитов, следить за активность трансаминаз в плазме крови, контролировать функции п</w:t>
      </w:r>
      <w:r>
        <w:rPr>
          <w:bCs/>
        </w:rPr>
        <w:t>е</w:t>
      </w:r>
      <w:r>
        <w:rPr>
          <w:bCs/>
        </w:rPr>
        <w:t>чени и почек.</w:t>
      </w:r>
    </w:p>
    <w:sectPr w:rsidR="00684C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1F" w:rsidRDefault="00B0471F">
      <w:r>
        <w:separator/>
      </w:r>
    </w:p>
  </w:endnote>
  <w:endnote w:type="continuationSeparator" w:id="0">
    <w:p w:rsidR="00B0471F" w:rsidRDefault="00B0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1F" w:rsidRDefault="00B0471F">
      <w:r>
        <w:separator/>
      </w:r>
    </w:p>
  </w:footnote>
  <w:footnote w:type="continuationSeparator" w:id="0">
    <w:p w:rsidR="00B0471F" w:rsidRDefault="00B0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456"/>
    <w:multiLevelType w:val="hybridMultilevel"/>
    <w:tmpl w:val="D8107F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A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79011E"/>
    <w:multiLevelType w:val="hybridMultilevel"/>
    <w:tmpl w:val="AAB2D81C"/>
    <w:lvl w:ilvl="0" w:tplc="F426ED42">
      <w:start w:val="2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1FD86B83"/>
    <w:multiLevelType w:val="hybridMultilevel"/>
    <w:tmpl w:val="9D6E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97D83"/>
    <w:multiLevelType w:val="hybridMultilevel"/>
    <w:tmpl w:val="B53421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BB62FB8"/>
    <w:multiLevelType w:val="hybridMultilevel"/>
    <w:tmpl w:val="E69A45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40551A1"/>
    <w:multiLevelType w:val="hybridMultilevel"/>
    <w:tmpl w:val="3C481638"/>
    <w:lvl w:ilvl="0" w:tplc="1A6849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37590149"/>
    <w:multiLevelType w:val="hybridMultilevel"/>
    <w:tmpl w:val="02D64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F55463"/>
    <w:multiLevelType w:val="hybridMultilevel"/>
    <w:tmpl w:val="3B1C1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862B63"/>
    <w:multiLevelType w:val="hybridMultilevel"/>
    <w:tmpl w:val="59CA19D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477E6D64"/>
    <w:multiLevelType w:val="hybridMultilevel"/>
    <w:tmpl w:val="B50E6BD4"/>
    <w:lvl w:ilvl="0" w:tplc="04190013">
      <w:start w:val="1"/>
      <w:numFmt w:val="upperRoman"/>
      <w:lvlText w:val="%1."/>
      <w:lvlJc w:val="right"/>
      <w:pPr>
        <w:tabs>
          <w:tab w:val="num" w:pos="1713"/>
        </w:tabs>
        <w:ind w:left="1713" w:hanging="180"/>
      </w:pPr>
    </w:lvl>
    <w:lvl w:ilvl="1" w:tplc="0419000D">
      <w:start w:val="1"/>
      <w:numFmt w:val="bullet"/>
      <w:lvlText w:val="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50F04014"/>
    <w:multiLevelType w:val="hybridMultilevel"/>
    <w:tmpl w:val="FBA0ACEC"/>
    <w:lvl w:ilvl="0" w:tplc="B96CD71C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5D277230"/>
    <w:multiLevelType w:val="hybridMultilevel"/>
    <w:tmpl w:val="F606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97F87"/>
    <w:multiLevelType w:val="hybridMultilevel"/>
    <w:tmpl w:val="5F1C3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99"/>
    <w:rsid w:val="001A6216"/>
    <w:rsid w:val="00684CC9"/>
    <w:rsid w:val="009E4250"/>
    <w:rsid w:val="00B0471F"/>
    <w:rsid w:val="00DA0EE7"/>
    <w:rsid w:val="00E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84"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ind w:left="284"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284" w:firstLine="709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sz w:val="20"/>
      <w:szCs w:val="20"/>
    </w:rPr>
  </w:style>
  <w:style w:type="paragraph" w:styleId="a4">
    <w:name w:val="Body Text"/>
    <w:basedOn w:val="a"/>
    <w:rPr>
      <w:sz w:val="2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  <w:outlineLvl w:val="0"/>
    </w:pPr>
  </w:style>
  <w:style w:type="paragraph" w:styleId="a8">
    <w:name w:val="Body Text Indent"/>
    <w:basedOn w:val="a"/>
    <w:pPr>
      <w:ind w:left="360"/>
      <w:jc w:val="both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84"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ind w:left="284"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284" w:firstLine="709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sz w:val="20"/>
      <w:szCs w:val="20"/>
    </w:rPr>
  </w:style>
  <w:style w:type="paragraph" w:styleId="a4">
    <w:name w:val="Body Text"/>
    <w:basedOn w:val="a"/>
    <w:rPr>
      <w:sz w:val="2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  <w:outlineLvl w:val="0"/>
    </w:pPr>
  </w:style>
  <w:style w:type="paragraph" w:styleId="a8">
    <w:name w:val="Body Text Indent"/>
    <w:basedOn w:val="a"/>
    <w:pPr>
      <w:ind w:left="360"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НИИ нейрохирургии им.акад.Н.Н.Бурденко</Company>
  <LinksUpToDate>false</LinksUpToDate>
  <CharactersWithSpaces>23656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IAlexandrova</dc:creator>
  <cp:lastModifiedBy>Igor</cp:lastModifiedBy>
  <cp:revision>2</cp:revision>
  <cp:lastPrinted>2003-04-29T06:39:00Z</cp:lastPrinted>
  <dcterms:created xsi:type="dcterms:W3CDTF">2024-03-30T08:22:00Z</dcterms:created>
  <dcterms:modified xsi:type="dcterms:W3CDTF">2024-03-30T08:22:00Z</dcterms:modified>
</cp:coreProperties>
</file>