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09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Астигматизм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"... И даже самый глаз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может, несмотря на совершенство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Строенья, видеть самого себя".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У. Шекспир </w:t>
      </w:r>
    </w:p>
    <w:p w:rsidR="00000000" w:rsidRDefault="00E409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Оптическая система глаза. Рефракция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Оптический аппарат глаза состоит из прозрачной роговиц</w:t>
      </w:r>
      <w:r>
        <w:rPr>
          <w:color w:val="000000"/>
          <w:sz w:val="24"/>
          <w:szCs w:val="24"/>
        </w:rPr>
        <w:t>ы, передней и задней камер, заполненных водянистой влагой, радужной оболочки, окружающей зрачок, хрусталика с прозрачной сумкой и стекловидного тела. В целом - это система линз, формирующая на сетчатке перевернутое и уменьшенное изображение рассматриваемых</w:t>
      </w:r>
      <w:r>
        <w:rPr>
          <w:color w:val="000000"/>
          <w:sz w:val="24"/>
          <w:szCs w:val="24"/>
        </w:rPr>
        <w:t xml:space="preserve"> предметов.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Преломляющая сила оптической системы выражается в диоптриях. Диоптрия - это преломляющая сила линзы с фокусным расстоянием 100 см. В состоянии покоя аккомодации преломляющая сила равна 58-60 диоптриям и называется рефракцией.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Рефракция зависи</w:t>
      </w:r>
      <w:r>
        <w:rPr>
          <w:color w:val="000000"/>
          <w:sz w:val="24"/>
          <w:szCs w:val="24"/>
        </w:rPr>
        <w:t xml:space="preserve">т от двух факторов: силы оптической системы глаза и размеров (длины) глазного яблока. Глаз построен по типу фотокамеры: имеет светопреломляющую часть (роговица и хрусталик) и светочувствительный экран (сетчатку).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Свет попадает на сетчатку через роговицу, </w:t>
      </w:r>
      <w:r>
        <w:rPr>
          <w:color w:val="000000"/>
          <w:sz w:val="24"/>
          <w:szCs w:val="24"/>
        </w:rPr>
        <w:t>влагу передней камеры, хрусталик, влагу задней камеры и стекловидное тело. В норме эти среды прозрачны и действуют как оптическая система, в которой лучи преломляются и сводятся в фокальную точку. Ясность зрения зависит главным образом от соответствия фоку</w:t>
      </w:r>
      <w:r>
        <w:rPr>
          <w:color w:val="000000"/>
          <w:sz w:val="24"/>
          <w:szCs w:val="24"/>
        </w:rPr>
        <w:t>сной точки и сетчатки. Если параллельные лучи света после их преломления сходятся на сетчатке, то на ней получается четкое изображение предмета и соответственно высокое зрение. Лучи света могут сходиться перед сетчаткой, такой вид рефракции называется близ</w:t>
      </w:r>
      <w:r>
        <w:rPr>
          <w:color w:val="000000"/>
          <w:sz w:val="24"/>
          <w:szCs w:val="24"/>
        </w:rPr>
        <w:t xml:space="preserve">орукостью.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лучи собираются в фокус за плоскостью сетчатки, то этот вид рефракции определяют как дальнозоркость. При близорукости и дальнозоркости изображение точки на сетчатке будет выглядеть как расплывчатый круг. Кроме этого, встречается вид рефрак</w:t>
      </w:r>
      <w:r>
        <w:rPr>
          <w:color w:val="000000"/>
          <w:sz w:val="24"/>
          <w:szCs w:val="24"/>
        </w:rPr>
        <w:t>ции, при котором точечный объект проектируется на сетчатку в виде полоски или эллипса. Это обусловлено тем, что разные участки роговицы или хрусталика имеют разную преломляющую способность, иногда даже на протяжении одного меридиана. Такая патология называ</w:t>
      </w:r>
      <w:r>
        <w:rPr>
          <w:color w:val="000000"/>
          <w:sz w:val="24"/>
          <w:szCs w:val="24"/>
        </w:rPr>
        <w:t xml:space="preserve">ется астигматизмом. </w:t>
      </w:r>
    </w:p>
    <w:p w:rsidR="00000000" w:rsidRDefault="00E409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Астигматизм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Астигматизм (лат. отсутствие фокусной точки) - это одна из патологий рефракции. Связана с тем, что преломление (отражение) лучей в различных сечениях проходящего светового пучка неодинаково, поэтому каждая точка воспринимае</w:t>
      </w:r>
      <w:r>
        <w:rPr>
          <w:color w:val="000000"/>
          <w:sz w:val="24"/>
          <w:szCs w:val="24"/>
        </w:rPr>
        <w:t xml:space="preserve">мого предмета предстает размытым эллипсом и на сетчатке никогда не получается его четкого изображения (зрение расплывчато как по горизонтали, так и по вертикали).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всего вертикальная ось оптического меридиана имеет большую преломляющую силу (т.е. пове</w:t>
      </w:r>
      <w:r>
        <w:rPr>
          <w:color w:val="000000"/>
          <w:sz w:val="24"/>
          <w:szCs w:val="24"/>
        </w:rPr>
        <w:t>рхность роговицы не симметрична относительно оптической оси), чем горизонтальная (прямой астигматизм), реже - сильнее горизонтальная ось (обратный астигматизм). Здесь проявляется зависимость преломляющей силы от угла падения лучей. Если разница не превышае</w:t>
      </w:r>
      <w:r>
        <w:rPr>
          <w:color w:val="000000"/>
          <w:sz w:val="24"/>
          <w:szCs w:val="24"/>
        </w:rPr>
        <w:t xml:space="preserve">т 0,5 диоптрия, такой астигматизм называют "физиологическим". Изредка встречается астигматизм неправильный, когда отрезки одного меридиана имеют разную преломляющую способность (из-за рубцов на роговице, кератоконуса).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выходе на первый план близорукос</w:t>
      </w:r>
      <w:r>
        <w:rPr>
          <w:color w:val="000000"/>
          <w:sz w:val="24"/>
          <w:szCs w:val="24"/>
        </w:rPr>
        <w:t xml:space="preserve">ти или дальнозоркости только специальные цилиндрические стекла (по одной оси нулевая преломляющая способность, а по другой оси </w:t>
      </w:r>
      <w:r>
        <w:rPr>
          <w:color w:val="000000"/>
          <w:sz w:val="24"/>
          <w:szCs w:val="24"/>
        </w:rPr>
        <w:lastRenderedPageBreak/>
        <w:t>действуют как выпуклые или вогнутые) повышают остроту зрения. Уточняют диагноз с помощью офтальмометра и рефрактометра (приборов,</w:t>
      </w:r>
      <w:r>
        <w:rPr>
          <w:color w:val="000000"/>
          <w:sz w:val="24"/>
          <w:szCs w:val="24"/>
        </w:rPr>
        <w:t xml:space="preserve"> измеряющих преломляющую способность роговицы и глаза в целом). Окончательное подтверждение получают после расширения зрачков раствором атропина и проведения скиаскопии (теневой пробы).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Лечение: правильный подбор очков в ранние сроки полностью решает проб</w:t>
      </w:r>
      <w:r>
        <w:rPr>
          <w:color w:val="000000"/>
          <w:sz w:val="24"/>
          <w:szCs w:val="24"/>
        </w:rPr>
        <w:t>лему. Современная оптика позволяет пользоваться контактными линзами. Хирургическое лечение - кератотомия, применяется по рекомендации окулиста. Недокоррегированный в детстве астигматизм может привести к амблеопии ("ленивый" глаз), когда без видимой анатоми</w:t>
      </w:r>
      <w:r>
        <w:rPr>
          <w:color w:val="000000"/>
          <w:sz w:val="24"/>
          <w:szCs w:val="24"/>
        </w:rPr>
        <w:t xml:space="preserve">ческой недостаточности у пациента низкое зрение, не поддающееся исправлению. </w:t>
      </w:r>
    </w:p>
    <w:p w:rsidR="00000000" w:rsidRDefault="00E409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Экран и глаза ребенка.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у ребенка косоглазие, близорукость, астигматизм, повышено внутриглазное давление, другие расстройства зрения или наследственная пред</w:t>
      </w:r>
      <w:r>
        <w:rPr>
          <w:color w:val="000000"/>
          <w:sz w:val="24"/>
          <w:szCs w:val="24"/>
        </w:rPr>
        <w:t xml:space="preserve">расположенность к ним, о допустимой зрительной нагрузке посоветуйтесь с окулистом.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Цветной телевизор смотреть менее вредно, чем черно-белый: яркие краски стимулируют цветовоспринимающий аппарат глаза, снимая часть нагрузки с аккомодационных мышц.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Минимал</w:t>
      </w:r>
      <w:r>
        <w:rPr>
          <w:color w:val="000000"/>
          <w:sz w:val="24"/>
          <w:szCs w:val="24"/>
        </w:rPr>
        <w:t xml:space="preserve">ьное "безопасное" расстояние при размере телеэкрана 35-47 см по диагонали - 2 м, при размере 50-61 см - 3-5 м. Высота нижнего края экрана над полом - 80-90 см.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разрешайте детям смотреть телевизор лежа.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Экран компьютера не должен мерцать, иметь цветовы</w:t>
      </w:r>
      <w:r>
        <w:rPr>
          <w:color w:val="000000"/>
          <w:sz w:val="24"/>
          <w:szCs w:val="24"/>
        </w:rPr>
        <w:t xml:space="preserve">е пятна и полосы, накладывать новое изображение на след старой картинки, высвечивать тень сбоку от ярких или темных горизонтальных линий.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Установите дисплей так, чтобы нижний край был выдвинут вперед по сравнению с верхним, - наклон экрана облегчает зрите</w:t>
      </w:r>
      <w:r>
        <w:rPr>
          <w:color w:val="000000"/>
          <w:sz w:val="24"/>
          <w:szCs w:val="24"/>
        </w:rPr>
        <w:t xml:space="preserve">льную работу.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Экран компьютера должен быть как минимум в 50-70 см от глаз ребенка при условии, что линия взора приходится на его центр.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получаса, проведенного у экрана телевизора, и 10-15 минут у дисплея ребенку нужен в идеале 10-минутный перерыв. </w:t>
      </w:r>
      <w:r>
        <w:rPr>
          <w:color w:val="000000"/>
          <w:sz w:val="24"/>
          <w:szCs w:val="24"/>
        </w:rPr>
        <w:t xml:space="preserve">Попросите его хотя бы просто посмотреть вдаль, в окно. </w:t>
      </w:r>
    </w:p>
    <w:p w:rsidR="00000000" w:rsidRDefault="00E409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Объясните сыну или дочери, что нельзя "прилипать" к экрану сразу после чтения, письма, рисования или придя из школы, а от телепередачи и компьютерной игры тут же переходить к другой зрительной работе.</w:t>
      </w:r>
      <w:r>
        <w:rPr>
          <w:color w:val="000000"/>
          <w:sz w:val="24"/>
          <w:szCs w:val="24"/>
        </w:rPr>
        <w:t xml:space="preserve"> Глазам нужен отдых! </w:t>
      </w:r>
    </w:p>
    <w:p w:rsidR="00000000" w:rsidRDefault="00E409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409A3" w:rsidRDefault="00E409A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http://medicinform.net/</w:t>
        </w:r>
      </w:hyperlink>
    </w:p>
    <w:sectPr w:rsidR="00E409A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E165D"/>
    <w:multiLevelType w:val="hybridMultilevel"/>
    <w:tmpl w:val="4086BC2A"/>
    <w:lvl w:ilvl="0" w:tplc="2072F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D04C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98C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3A32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EB8FF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D65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A89B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28E7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5EA9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CB1"/>
    <w:rsid w:val="009F7CB1"/>
    <w:rsid w:val="00E4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5A9D36-E4A0-4A39-A1F0-FB3742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Астигматизм</dc:title>
  <dc:subject/>
  <dc:creator>USER</dc:creator>
  <cp:keywords/>
  <dc:description/>
  <cp:lastModifiedBy>Igor Trofimov</cp:lastModifiedBy>
  <cp:revision>2</cp:revision>
  <dcterms:created xsi:type="dcterms:W3CDTF">2024-07-30T10:50:00Z</dcterms:created>
  <dcterms:modified xsi:type="dcterms:W3CDTF">2024-07-30T10:50:00Z</dcterms:modified>
</cp:coreProperties>
</file>