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7E" w:rsidRDefault="00327B7E">
      <w:bookmarkStart w:id="0" w:name="_GoBack"/>
      <w:bookmarkEnd w:id="0"/>
      <w:r>
        <w:t>Билирубин – желто-красный пигмент, образующийся при распаде г</w:t>
      </w:r>
      <w:r>
        <w:t>е</w:t>
      </w:r>
      <w:r>
        <w:t>моглобина, высвобождающийся из стареющих эритроцитов после их гемол</w:t>
      </w:r>
      <w:r>
        <w:t>и</w:t>
      </w:r>
      <w:r>
        <w:t xml:space="preserve">за в ретикулоэндотелиальной системе. </w:t>
      </w:r>
    </w:p>
    <w:p w:rsidR="00327B7E" w:rsidRDefault="00327B7E">
      <w:r>
        <w:t>В норме сыворотка крови содержит общего билирубина – 8,5 – 20,5 мкМ\л, связанного (прямого) – 0,9 – 4,3 мкМ\л, свободного(непрямого) - 6,4 – 17,1 мкМ\л. У новорожденных концентрация выше (17,1 – 205 мкМ\л). В м</w:t>
      </w:r>
      <w:r>
        <w:t>о</w:t>
      </w:r>
      <w:r>
        <w:t xml:space="preserve">че у здоровых людей не определяется. </w:t>
      </w:r>
    </w:p>
    <w:p w:rsidR="00327B7E" w:rsidRDefault="00327B7E">
      <w:r>
        <w:t>Повышение общего билирубина в сыворотке наблюдается при восп</w:t>
      </w:r>
      <w:r>
        <w:t>а</w:t>
      </w:r>
      <w:r>
        <w:t>лительных, токсических и неопластических повреждениях клеток печени, гемолитических заболеваниях, физиологической желтухе новорожденных, закупорке вне - и внутри печеночных желчных протоков, синдромах Дубина – Джонсона, Криглера – Найяра, синдроме Жильбера, нарушении толеран</w:t>
      </w:r>
      <w:r>
        <w:t>т</w:t>
      </w:r>
      <w:r>
        <w:t>ности к фруктозе. Желтуха обычно появляется при уровне билирубина в кр</w:t>
      </w:r>
      <w:r>
        <w:t>о</w:t>
      </w:r>
      <w:r>
        <w:t xml:space="preserve">ви, превышающем 27 – 34 мкМ\л. Билирубинурия возникает при закупорке внепеченочных желчных путей, паренхиматозной желтухе и отсутствует при гемолитической желтухе. </w:t>
      </w:r>
    </w:p>
    <w:p w:rsidR="00327B7E" w:rsidRDefault="00327B7E">
      <w:r>
        <w:t>Увеличение содержания связанного (прямого) билирубина в сыворотке отмечается при подпеченочных желтухах, циррозе, холецистите, холангите, холестазе (комплекс разнородных заболеваний печени - клинический пр</w:t>
      </w:r>
      <w:r>
        <w:t>и</w:t>
      </w:r>
      <w:r>
        <w:t>знак это кожный зуд, нередко развитие желтухи. Синдром нарушенного вс</w:t>
      </w:r>
      <w:r>
        <w:t>а</w:t>
      </w:r>
      <w:r>
        <w:t>сывания(понос или истощение), остеопороз или остеомаляция, превичный биллиарный цирроз(заболевание с поражением междольковых желчных пр</w:t>
      </w:r>
      <w:r>
        <w:t>о</w:t>
      </w:r>
      <w:r>
        <w:t>токв с последующим развитием фиброза портальных трактов и последующий цирроз; поттверждается после клинических исследований - лабораторно а</w:t>
      </w:r>
      <w:r>
        <w:t>н</w:t>
      </w:r>
      <w:r>
        <w:t>личие IG M, биопсия печени); первичный склерозирующий холангит (с п</w:t>
      </w:r>
      <w:r>
        <w:t>о</w:t>
      </w:r>
      <w:r>
        <w:t>ражением внепеченочных и крупных внутри печеночных протоков. Воспал</w:t>
      </w:r>
      <w:r>
        <w:t>е</w:t>
      </w:r>
      <w:r>
        <w:t>ние и фиброз приводят приводят к развитию облитерации и развитию вт</w:t>
      </w:r>
      <w:r>
        <w:t>о</w:t>
      </w:r>
      <w:r>
        <w:t xml:space="preserve">ричного билиарного цирроза, клиника зуд, желтуха, гепатомегалия, слабость и похудание, при присоединении бактерильного холангита - - лихорадка и боль иногда заканчивается холангиокарциномой), раке печени, синдромах </w:t>
      </w:r>
      <w:r>
        <w:lastRenderedPageBreak/>
        <w:t>Дубина – Джонсона, Ротора, гипотиреозе у новорожденных, абсцессе печени, лептоспирозе, хроническом панкреатите, желтухах беременных, отравлении бледной поганкой, рпиеме аминосалициловой кислоты, андогенов никотин</w:t>
      </w:r>
      <w:r>
        <w:t>о</w:t>
      </w:r>
      <w:r>
        <w:t>вой кислоты, пенициллина, сульфаниламидов, эритромицина, эстрогенов. У больных с повышенным содержанием связанного билирубина в сыворотке возникает билирубинемия. В кале количество стеркобиллина понижено. Ув</w:t>
      </w:r>
      <w:r>
        <w:t>е</w:t>
      </w:r>
      <w:r>
        <w:t>личение связанного и отчасти свободного билирубина отмечается при токс</w:t>
      </w:r>
      <w:r>
        <w:t>и</w:t>
      </w:r>
      <w:r>
        <w:t xml:space="preserve">ческом поражении печени. </w:t>
      </w:r>
    </w:p>
    <w:p w:rsidR="00327B7E" w:rsidRDefault="00327B7E">
      <w:r>
        <w:t>Повышение уровня свободного (не прямого) билирубина в сывротке возникает при гемолизе любой этиологии, синдроме Криглера – Найяра, си</w:t>
      </w:r>
      <w:r>
        <w:t>н</w:t>
      </w:r>
      <w:r>
        <w:t>дроме Жильбера, хроническом эритробластозе, галактоземии, пароксизмал</w:t>
      </w:r>
      <w:r>
        <w:t>ь</w:t>
      </w:r>
      <w:r>
        <w:t>ной гемоглобинурии, при отравлении бензолом, мухомором, возможно после приема некоторых лекарственных препаратов (допегита, индометацина, ф</w:t>
      </w:r>
      <w:r>
        <w:t>у</w:t>
      </w:r>
      <w:r>
        <w:t xml:space="preserve">рациллина, окситетрациклина, сульфаниламидов). </w:t>
      </w:r>
    </w:p>
    <w:p w:rsidR="00327B7E" w:rsidRDefault="00327B7E">
      <w:r>
        <w:t xml:space="preserve">Стеркобилиноген продукт превращения билирубина, под действием кислорода превращается в стеркобиллин. </w:t>
      </w:r>
    </w:p>
    <w:p w:rsidR="00327B7E" w:rsidRDefault="00327B7E">
      <w:r>
        <w:t>Из организма выводится с калом. Нормальное содержание в кале с</w:t>
      </w:r>
      <w:r>
        <w:t>о</w:t>
      </w:r>
      <w:r>
        <w:t xml:space="preserve">ставляет 50 – 300 мг\ сут. </w:t>
      </w:r>
    </w:p>
    <w:tbl>
      <w:tblPr>
        <w:tblpPr w:leftFromText="180" w:rightFromText="180" w:vertAnchor="text" w:horzAnchor="margin" w:tblpXSpec="center"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17"/>
        <w:gridCol w:w="2487"/>
        <w:gridCol w:w="2632"/>
      </w:tblGrid>
      <w:tr w:rsidR="00327B7E">
        <w:trPr>
          <w:cantSplit/>
          <w:trHeight w:val="416"/>
        </w:trPr>
        <w:tc>
          <w:tcPr>
            <w:tcW w:w="1168" w:type="pct"/>
            <w:vMerge w:val="restart"/>
          </w:tcPr>
          <w:p w:rsidR="00327B7E" w:rsidRDefault="00327B7E">
            <w:pPr>
              <w:pStyle w:val="ab"/>
            </w:pPr>
            <w:r>
              <w:t xml:space="preserve">Признаки </w:t>
            </w:r>
          </w:p>
        </w:tc>
        <w:tc>
          <w:tcPr>
            <w:tcW w:w="3832" w:type="pct"/>
            <w:gridSpan w:val="3"/>
          </w:tcPr>
          <w:p w:rsidR="00327B7E" w:rsidRDefault="00327B7E">
            <w:pPr>
              <w:pStyle w:val="ab"/>
            </w:pPr>
            <w:r>
              <w:t xml:space="preserve">Желтухи </w:t>
            </w:r>
          </w:p>
        </w:tc>
      </w:tr>
      <w:tr w:rsidR="00327B7E">
        <w:trPr>
          <w:cantSplit/>
          <w:trHeight w:val="2028"/>
        </w:trPr>
        <w:tc>
          <w:tcPr>
            <w:tcW w:w="1168" w:type="pct"/>
            <w:vMerge/>
          </w:tcPr>
          <w:p w:rsidR="00327B7E" w:rsidRDefault="00327B7E">
            <w:pPr>
              <w:pStyle w:val="ab"/>
            </w:pPr>
          </w:p>
        </w:tc>
        <w:tc>
          <w:tcPr>
            <w:tcW w:w="1158" w:type="pct"/>
          </w:tcPr>
          <w:p w:rsidR="00327B7E" w:rsidRDefault="00327B7E">
            <w:pPr>
              <w:pStyle w:val="ab"/>
            </w:pPr>
            <w:r>
              <w:t>Механическая (обт</w:t>
            </w:r>
            <w:r>
              <w:t>у</w:t>
            </w:r>
            <w:r>
              <w:t>рационная,</w:t>
            </w:r>
          </w:p>
          <w:p w:rsidR="00327B7E" w:rsidRDefault="00327B7E">
            <w:pPr>
              <w:pStyle w:val="ab"/>
            </w:pPr>
            <w:r>
              <w:t xml:space="preserve">подпеченочная) </w:t>
            </w:r>
          </w:p>
        </w:tc>
        <w:tc>
          <w:tcPr>
            <w:tcW w:w="1299" w:type="pct"/>
          </w:tcPr>
          <w:p w:rsidR="00327B7E" w:rsidRDefault="00327B7E">
            <w:pPr>
              <w:pStyle w:val="ab"/>
            </w:pPr>
            <w:r>
              <w:t>Парехиматозная (печ</w:t>
            </w:r>
            <w:r>
              <w:t>е</w:t>
            </w:r>
            <w:r>
              <w:t xml:space="preserve">ночная) </w:t>
            </w:r>
          </w:p>
        </w:tc>
        <w:tc>
          <w:tcPr>
            <w:tcW w:w="1375" w:type="pct"/>
          </w:tcPr>
          <w:p w:rsidR="00327B7E" w:rsidRDefault="00327B7E">
            <w:pPr>
              <w:pStyle w:val="ab"/>
            </w:pPr>
            <w:r>
              <w:t>Гемолитическая</w:t>
            </w:r>
          </w:p>
          <w:p w:rsidR="00327B7E" w:rsidRDefault="00327B7E">
            <w:pPr>
              <w:pStyle w:val="ab"/>
            </w:pPr>
            <w:r>
              <w:t xml:space="preserve">(надпеченочная) </w:t>
            </w:r>
          </w:p>
        </w:tc>
      </w:tr>
      <w:tr w:rsidR="00327B7E">
        <w:trPr>
          <w:trHeight w:val="1260"/>
        </w:trPr>
        <w:tc>
          <w:tcPr>
            <w:tcW w:w="1168" w:type="pct"/>
          </w:tcPr>
          <w:p w:rsidR="00327B7E" w:rsidRDefault="00327B7E">
            <w:pPr>
              <w:pStyle w:val="ab"/>
            </w:pPr>
            <w:r>
              <w:t>Свободный билирубин крови</w:t>
            </w:r>
          </w:p>
        </w:tc>
        <w:tc>
          <w:tcPr>
            <w:tcW w:w="1158" w:type="pct"/>
          </w:tcPr>
          <w:p w:rsidR="00327B7E" w:rsidRDefault="00327B7E">
            <w:pPr>
              <w:pStyle w:val="ab"/>
            </w:pPr>
            <w:r>
              <w:t xml:space="preserve">Не изменен </w:t>
            </w:r>
          </w:p>
        </w:tc>
        <w:tc>
          <w:tcPr>
            <w:tcW w:w="1299" w:type="pct"/>
          </w:tcPr>
          <w:p w:rsidR="00327B7E" w:rsidRDefault="00327B7E">
            <w:pPr>
              <w:pStyle w:val="ab"/>
            </w:pPr>
            <w:r>
              <w:t>Незначительно повышен</w:t>
            </w:r>
          </w:p>
        </w:tc>
        <w:tc>
          <w:tcPr>
            <w:tcW w:w="1375" w:type="pct"/>
          </w:tcPr>
          <w:p w:rsidR="00327B7E" w:rsidRDefault="00327B7E">
            <w:pPr>
              <w:pStyle w:val="ab"/>
            </w:pPr>
            <w:r>
              <w:t>Резко повышен</w:t>
            </w:r>
          </w:p>
        </w:tc>
      </w:tr>
      <w:tr w:rsidR="00327B7E">
        <w:trPr>
          <w:trHeight w:val="1254"/>
        </w:trPr>
        <w:tc>
          <w:tcPr>
            <w:tcW w:w="1168" w:type="pct"/>
          </w:tcPr>
          <w:p w:rsidR="00327B7E" w:rsidRDefault="00327B7E">
            <w:pPr>
              <w:pStyle w:val="ab"/>
            </w:pPr>
            <w:r>
              <w:t xml:space="preserve">Связанный билирубин крови </w:t>
            </w:r>
          </w:p>
        </w:tc>
        <w:tc>
          <w:tcPr>
            <w:tcW w:w="1158" w:type="pct"/>
          </w:tcPr>
          <w:p w:rsidR="00327B7E" w:rsidRDefault="00327B7E">
            <w:pPr>
              <w:pStyle w:val="ab"/>
            </w:pPr>
            <w:r>
              <w:t xml:space="preserve">Резко повышен </w:t>
            </w:r>
          </w:p>
        </w:tc>
        <w:tc>
          <w:tcPr>
            <w:tcW w:w="1299" w:type="pct"/>
          </w:tcPr>
          <w:p w:rsidR="00327B7E" w:rsidRDefault="00327B7E">
            <w:pPr>
              <w:pStyle w:val="ab"/>
            </w:pPr>
            <w:r>
              <w:t xml:space="preserve">Значительно повышен </w:t>
            </w:r>
          </w:p>
        </w:tc>
        <w:tc>
          <w:tcPr>
            <w:tcW w:w="1375" w:type="pct"/>
          </w:tcPr>
          <w:p w:rsidR="00327B7E" w:rsidRDefault="00327B7E">
            <w:pPr>
              <w:pStyle w:val="ab"/>
            </w:pPr>
            <w:r>
              <w:t>Незначительно повышен</w:t>
            </w:r>
          </w:p>
        </w:tc>
      </w:tr>
    </w:tbl>
    <w:p w:rsidR="00327B7E" w:rsidRDefault="00327B7E">
      <w:pPr>
        <w:jc w:val="right"/>
        <w:rPr>
          <w:sz w:val="20"/>
          <w:szCs w:val="20"/>
        </w:rPr>
      </w:pPr>
      <w:r>
        <w:rPr>
          <w:sz w:val="20"/>
          <w:szCs w:val="20"/>
        </w:rPr>
        <w:br w:type="page"/>
      </w:r>
      <w:r>
        <w:rPr>
          <w:sz w:val="20"/>
          <w:szCs w:val="20"/>
        </w:rPr>
        <w:lastRenderedPageBreak/>
        <w:t>Продолжение таблицы.</w:t>
      </w:r>
    </w:p>
    <w:tbl>
      <w:tblPr>
        <w:tblpPr w:leftFromText="180" w:rightFromText="180" w:vertAnchor="text" w:horzAnchor="margin" w:tblpXSpec="center"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17"/>
        <w:gridCol w:w="2487"/>
        <w:gridCol w:w="2632"/>
      </w:tblGrid>
      <w:tr w:rsidR="00327B7E">
        <w:trPr>
          <w:trHeight w:val="794"/>
        </w:trPr>
        <w:tc>
          <w:tcPr>
            <w:tcW w:w="1168" w:type="pct"/>
          </w:tcPr>
          <w:p w:rsidR="00327B7E" w:rsidRDefault="00327B7E">
            <w:pPr>
              <w:pStyle w:val="ab"/>
            </w:pPr>
            <w:r>
              <w:t xml:space="preserve">Билирубин мочи </w:t>
            </w:r>
          </w:p>
        </w:tc>
        <w:tc>
          <w:tcPr>
            <w:tcW w:w="1158" w:type="pct"/>
          </w:tcPr>
          <w:p w:rsidR="00327B7E" w:rsidRDefault="00327B7E">
            <w:pPr>
              <w:pStyle w:val="ab"/>
            </w:pPr>
            <w:r>
              <w:t>Значительно повышен</w:t>
            </w:r>
          </w:p>
        </w:tc>
        <w:tc>
          <w:tcPr>
            <w:tcW w:w="1299" w:type="pct"/>
          </w:tcPr>
          <w:p w:rsidR="00327B7E" w:rsidRDefault="00327B7E">
            <w:pPr>
              <w:pStyle w:val="ab"/>
            </w:pPr>
            <w:r>
              <w:t>Незначительно повышен</w:t>
            </w:r>
          </w:p>
        </w:tc>
        <w:tc>
          <w:tcPr>
            <w:tcW w:w="1375" w:type="pct"/>
          </w:tcPr>
          <w:p w:rsidR="00327B7E" w:rsidRDefault="00327B7E">
            <w:pPr>
              <w:pStyle w:val="ab"/>
            </w:pPr>
            <w:r>
              <w:t xml:space="preserve">Не изменен </w:t>
            </w:r>
          </w:p>
        </w:tc>
      </w:tr>
      <w:tr w:rsidR="00327B7E">
        <w:trPr>
          <w:trHeight w:val="761"/>
        </w:trPr>
        <w:tc>
          <w:tcPr>
            <w:tcW w:w="1168" w:type="pct"/>
          </w:tcPr>
          <w:p w:rsidR="00327B7E" w:rsidRDefault="00327B7E">
            <w:pPr>
              <w:pStyle w:val="ab"/>
            </w:pPr>
            <w:r>
              <w:t xml:space="preserve">Уробиллиноген мочи </w:t>
            </w:r>
          </w:p>
        </w:tc>
        <w:tc>
          <w:tcPr>
            <w:tcW w:w="1158" w:type="pct"/>
          </w:tcPr>
          <w:p w:rsidR="00327B7E" w:rsidRDefault="00327B7E">
            <w:pPr>
              <w:pStyle w:val="ab"/>
            </w:pPr>
            <w:r>
              <w:t>Не изменен или сн</w:t>
            </w:r>
            <w:r>
              <w:t>и</w:t>
            </w:r>
            <w:r>
              <w:t xml:space="preserve">жен </w:t>
            </w:r>
          </w:p>
        </w:tc>
        <w:tc>
          <w:tcPr>
            <w:tcW w:w="1299" w:type="pct"/>
          </w:tcPr>
          <w:p w:rsidR="00327B7E" w:rsidRDefault="00327B7E">
            <w:pPr>
              <w:pStyle w:val="ab"/>
            </w:pPr>
            <w:r>
              <w:t>Значительно повышен</w:t>
            </w:r>
          </w:p>
        </w:tc>
        <w:tc>
          <w:tcPr>
            <w:tcW w:w="1375" w:type="pct"/>
          </w:tcPr>
          <w:p w:rsidR="00327B7E" w:rsidRDefault="00327B7E">
            <w:pPr>
              <w:pStyle w:val="ab"/>
            </w:pPr>
            <w:r>
              <w:t>Резко повышен</w:t>
            </w:r>
          </w:p>
        </w:tc>
      </w:tr>
      <w:tr w:rsidR="00327B7E">
        <w:trPr>
          <w:trHeight w:val="882"/>
        </w:trPr>
        <w:tc>
          <w:tcPr>
            <w:tcW w:w="1168" w:type="pct"/>
          </w:tcPr>
          <w:p w:rsidR="00327B7E" w:rsidRDefault="00327B7E">
            <w:pPr>
              <w:pStyle w:val="ab"/>
            </w:pPr>
            <w:r>
              <w:t xml:space="preserve">Стеркобиллин </w:t>
            </w:r>
          </w:p>
        </w:tc>
        <w:tc>
          <w:tcPr>
            <w:tcW w:w="1158" w:type="pct"/>
          </w:tcPr>
          <w:p w:rsidR="00327B7E" w:rsidRDefault="00327B7E">
            <w:pPr>
              <w:pStyle w:val="ab"/>
            </w:pPr>
            <w:r>
              <w:t xml:space="preserve">Снижен </w:t>
            </w:r>
          </w:p>
        </w:tc>
        <w:tc>
          <w:tcPr>
            <w:tcW w:w="1299" w:type="pct"/>
          </w:tcPr>
          <w:p w:rsidR="00327B7E" w:rsidRDefault="00327B7E">
            <w:pPr>
              <w:pStyle w:val="ab"/>
            </w:pPr>
            <w:r>
              <w:t xml:space="preserve">Не изменен или снижен </w:t>
            </w:r>
          </w:p>
        </w:tc>
        <w:tc>
          <w:tcPr>
            <w:tcW w:w="1375" w:type="pct"/>
          </w:tcPr>
          <w:p w:rsidR="00327B7E" w:rsidRDefault="00327B7E">
            <w:pPr>
              <w:pStyle w:val="ab"/>
            </w:pPr>
            <w:r>
              <w:t xml:space="preserve">То же </w:t>
            </w:r>
          </w:p>
        </w:tc>
      </w:tr>
      <w:tr w:rsidR="00327B7E">
        <w:trPr>
          <w:trHeight w:val="1337"/>
        </w:trPr>
        <w:tc>
          <w:tcPr>
            <w:tcW w:w="1168" w:type="pct"/>
          </w:tcPr>
          <w:p w:rsidR="00327B7E" w:rsidRDefault="00327B7E">
            <w:pPr>
              <w:pStyle w:val="ab"/>
            </w:pPr>
            <w:r>
              <w:t>Органоспецифические ферменты</w:t>
            </w:r>
          </w:p>
        </w:tc>
        <w:tc>
          <w:tcPr>
            <w:tcW w:w="1158" w:type="pct"/>
          </w:tcPr>
          <w:p w:rsidR="00327B7E" w:rsidRDefault="00327B7E">
            <w:pPr>
              <w:pStyle w:val="ab"/>
            </w:pPr>
            <w:r>
              <w:t>Умеренно повышены</w:t>
            </w:r>
          </w:p>
        </w:tc>
        <w:tc>
          <w:tcPr>
            <w:tcW w:w="1299" w:type="pct"/>
          </w:tcPr>
          <w:p w:rsidR="00327B7E" w:rsidRDefault="00327B7E">
            <w:pPr>
              <w:pStyle w:val="ab"/>
            </w:pPr>
            <w:r>
              <w:t>Резко повышены вн ара</w:t>
            </w:r>
            <w:r>
              <w:t>н</w:t>
            </w:r>
            <w:r>
              <w:t>них стадиях</w:t>
            </w:r>
          </w:p>
        </w:tc>
        <w:tc>
          <w:tcPr>
            <w:tcW w:w="1375" w:type="pct"/>
          </w:tcPr>
          <w:p w:rsidR="00327B7E" w:rsidRDefault="00327B7E">
            <w:pPr>
              <w:pStyle w:val="ab"/>
            </w:pPr>
            <w:r>
              <w:t xml:space="preserve">Не изменен </w:t>
            </w:r>
          </w:p>
        </w:tc>
      </w:tr>
      <w:tr w:rsidR="00327B7E">
        <w:trPr>
          <w:trHeight w:val="1272"/>
        </w:trPr>
        <w:tc>
          <w:tcPr>
            <w:tcW w:w="1168" w:type="pct"/>
          </w:tcPr>
          <w:p w:rsidR="00327B7E" w:rsidRDefault="00327B7E">
            <w:pPr>
              <w:pStyle w:val="ab"/>
            </w:pPr>
            <w:r>
              <w:t>Функциональные пр</w:t>
            </w:r>
            <w:r>
              <w:t>о</w:t>
            </w:r>
            <w:r>
              <w:t xml:space="preserve">бы </w:t>
            </w:r>
          </w:p>
        </w:tc>
        <w:tc>
          <w:tcPr>
            <w:tcW w:w="1158" w:type="pct"/>
          </w:tcPr>
          <w:p w:rsidR="00327B7E" w:rsidRDefault="00327B7E">
            <w:pPr>
              <w:pStyle w:val="ab"/>
            </w:pPr>
            <w:r>
              <w:t>В дебюте нормы, затем не изменены</w:t>
            </w:r>
          </w:p>
        </w:tc>
        <w:tc>
          <w:tcPr>
            <w:tcW w:w="1299" w:type="pct"/>
          </w:tcPr>
          <w:p w:rsidR="00327B7E" w:rsidRDefault="00327B7E">
            <w:pPr>
              <w:pStyle w:val="ab"/>
            </w:pPr>
            <w:r>
              <w:t>Патологически не изм</w:t>
            </w:r>
            <w:r>
              <w:t>е</w:t>
            </w:r>
            <w:r>
              <w:t>нены</w:t>
            </w:r>
          </w:p>
        </w:tc>
        <w:tc>
          <w:tcPr>
            <w:tcW w:w="1375" w:type="pct"/>
          </w:tcPr>
          <w:p w:rsidR="00327B7E" w:rsidRDefault="00327B7E">
            <w:pPr>
              <w:pStyle w:val="ab"/>
            </w:pPr>
            <w:r>
              <w:t xml:space="preserve">Норма </w:t>
            </w:r>
          </w:p>
        </w:tc>
      </w:tr>
    </w:tbl>
    <w:p w:rsidR="00327B7E" w:rsidRDefault="00327B7E">
      <w:pPr>
        <w:rPr>
          <w:sz w:val="20"/>
          <w:szCs w:val="20"/>
        </w:rPr>
      </w:pPr>
    </w:p>
    <w:p w:rsidR="00327B7E" w:rsidRDefault="00327B7E">
      <w:pPr>
        <w:rPr>
          <w:sz w:val="20"/>
          <w:szCs w:val="20"/>
        </w:rPr>
      </w:pPr>
      <w:r>
        <w:rPr>
          <w:sz w:val="20"/>
          <w:szCs w:val="20"/>
        </w:rPr>
        <w:t xml:space="preserve">В физиологических условиях снижение концентрации может наблюдатся у детей. </w:t>
      </w:r>
    </w:p>
    <w:p w:rsidR="00327B7E" w:rsidRDefault="00327B7E">
      <w:pPr>
        <w:rPr>
          <w:sz w:val="20"/>
          <w:szCs w:val="20"/>
        </w:rPr>
      </w:pPr>
      <w:r>
        <w:rPr>
          <w:sz w:val="20"/>
          <w:szCs w:val="20"/>
        </w:rPr>
        <w:t>Увеличение содержания отмечается при гемолитической желтухе, снижение – при механической желтухе, кахексии, некоторых анемиях, после лечения антибиотиками. У больных паренхиматозной желт</w:t>
      </w:r>
      <w:r>
        <w:rPr>
          <w:sz w:val="20"/>
          <w:szCs w:val="20"/>
        </w:rPr>
        <w:t>у</w:t>
      </w:r>
      <w:r>
        <w:rPr>
          <w:sz w:val="20"/>
          <w:szCs w:val="20"/>
        </w:rPr>
        <w:t xml:space="preserve">хой возможно небольшое понижение. </w:t>
      </w:r>
    </w:p>
    <w:p w:rsidR="00327B7E" w:rsidRDefault="00327B7E">
      <w:pPr>
        <w:rPr>
          <w:sz w:val="20"/>
          <w:szCs w:val="20"/>
        </w:rPr>
      </w:pPr>
      <w:r>
        <w:rPr>
          <w:sz w:val="20"/>
          <w:szCs w:val="20"/>
        </w:rPr>
        <w:t xml:space="preserve">Уробиллиноген – продукт превращения билирубина. При окислении на воздухе превращается в уробиллин. нормальное содержание в моче составляет 0.08 – 4.23 мкМ\сут(по другим сведениям – ниже 1.7. мкМ\сут). в кале - 67 - 423мкМ \сут. </w:t>
      </w:r>
    </w:p>
    <w:p w:rsidR="00327B7E" w:rsidRDefault="00327B7E">
      <w:pPr>
        <w:rPr>
          <w:sz w:val="20"/>
          <w:szCs w:val="20"/>
        </w:rPr>
      </w:pPr>
      <w:r>
        <w:rPr>
          <w:sz w:val="20"/>
          <w:szCs w:val="20"/>
        </w:rPr>
        <w:t>Выводится с преимущественно с мочой. Его уровень в моче повышается при заболеваниях печ</w:t>
      </w:r>
      <w:r>
        <w:rPr>
          <w:sz w:val="20"/>
          <w:szCs w:val="20"/>
        </w:rPr>
        <w:t>е</w:t>
      </w:r>
      <w:r>
        <w:rPr>
          <w:sz w:val="20"/>
          <w:szCs w:val="20"/>
        </w:rPr>
        <w:t>ни(портальный цирроз, гепатит, токсическое поражение печени, обтурация желчных путей), внутрисосуд</w:t>
      </w:r>
      <w:r>
        <w:rPr>
          <w:sz w:val="20"/>
          <w:szCs w:val="20"/>
        </w:rPr>
        <w:t>и</w:t>
      </w:r>
      <w:r>
        <w:rPr>
          <w:sz w:val="20"/>
          <w:szCs w:val="20"/>
        </w:rPr>
        <w:t xml:space="preserve">стом гемолизе, кровоизлиянии в ткани, запорах, сердечной недостаточности, возможно присвинцовом отравлении и пренициозной анемии; отсутствие или снижение в моче наблюдается при полной обтурации желчных путей без их инфицирования, после начальной стадии острого инфекционного гепатита, почечной недостаточности, холстазе. </w:t>
      </w:r>
    </w:p>
    <w:p w:rsidR="00327B7E" w:rsidRDefault="00327B7E">
      <w:pPr>
        <w:rPr>
          <w:sz w:val="20"/>
          <w:szCs w:val="20"/>
        </w:rPr>
      </w:pPr>
      <w:r>
        <w:rPr>
          <w:sz w:val="20"/>
          <w:szCs w:val="20"/>
        </w:rPr>
        <w:t>Диагностика – важно определить, чем обусловлена гипербилирубинемия прямым и не прямым б</w:t>
      </w:r>
      <w:r>
        <w:rPr>
          <w:sz w:val="20"/>
          <w:szCs w:val="20"/>
        </w:rPr>
        <w:t>и</w:t>
      </w:r>
      <w:r>
        <w:rPr>
          <w:sz w:val="20"/>
          <w:szCs w:val="20"/>
        </w:rPr>
        <w:t>лирубином. Гипербилирубинемия за счет прямого билирубина обычно результат поражения печеночных клеток(паренхимы), холестаза или внепеченочной обструкции, клиническое обследование включает анамнез(обратить внимание на длительность желтухи, зуд, сопутствующие боли, лихорадку, похудание, факторы риска парентерального заражения, медикаменты, алкоголь, сведения о путешествиях, операциях, беременности,) физикальные исследования (увеличение печени, болезненность, при пльпации, пальпиру</w:t>
      </w:r>
      <w:r>
        <w:rPr>
          <w:sz w:val="20"/>
          <w:szCs w:val="20"/>
        </w:rPr>
        <w:t>е</w:t>
      </w:r>
      <w:r>
        <w:rPr>
          <w:sz w:val="20"/>
          <w:szCs w:val="20"/>
        </w:rPr>
        <w:t>мый желчный пузырь, спленомегалия, гинекомастия, тарофия яичек), результаты биохимических печено</w:t>
      </w:r>
      <w:r>
        <w:rPr>
          <w:sz w:val="20"/>
          <w:szCs w:val="20"/>
        </w:rPr>
        <w:t>ч</w:t>
      </w:r>
      <w:r>
        <w:rPr>
          <w:sz w:val="20"/>
          <w:szCs w:val="20"/>
        </w:rPr>
        <w:t xml:space="preserve">ных проб: </w:t>
      </w:r>
    </w:p>
    <w:p w:rsidR="00327B7E" w:rsidRDefault="00327B7E">
      <w:pPr>
        <w:rPr>
          <w:sz w:val="20"/>
          <w:szCs w:val="20"/>
        </w:rPr>
      </w:pPr>
      <w:r>
        <w:rPr>
          <w:sz w:val="20"/>
          <w:szCs w:val="20"/>
        </w:rPr>
        <w:t xml:space="preserve">Билирубин </w:t>
      </w:r>
    </w:p>
    <w:p w:rsidR="00327B7E" w:rsidRDefault="00327B7E">
      <w:pPr>
        <w:rPr>
          <w:sz w:val="20"/>
          <w:szCs w:val="20"/>
        </w:rPr>
      </w:pPr>
      <w:r>
        <w:rPr>
          <w:sz w:val="20"/>
          <w:szCs w:val="20"/>
        </w:rPr>
        <w:t>Аминотрансферазы (аспартатаминотрансфераза АсАТ, аланинаминотрансфераза АлАТ индикаторы целостности клеток печени</w:t>
      </w:r>
    </w:p>
    <w:p w:rsidR="00327B7E" w:rsidRDefault="00327B7E">
      <w:pPr>
        <w:rPr>
          <w:sz w:val="20"/>
          <w:szCs w:val="20"/>
        </w:rPr>
      </w:pPr>
      <w:r>
        <w:rPr>
          <w:sz w:val="20"/>
          <w:szCs w:val="20"/>
        </w:rPr>
        <w:t xml:space="preserve">Лактатдегидрогеназа ЛДГ </w:t>
      </w:r>
    </w:p>
    <w:p w:rsidR="00327B7E" w:rsidRDefault="00327B7E">
      <w:pPr>
        <w:rPr>
          <w:sz w:val="20"/>
          <w:szCs w:val="20"/>
        </w:rPr>
      </w:pPr>
      <w:r>
        <w:rPr>
          <w:sz w:val="20"/>
          <w:szCs w:val="20"/>
        </w:rPr>
        <w:lastRenderedPageBreak/>
        <w:t>Щелочная фосфатаза ЩФ - показатель холстаза</w:t>
      </w:r>
    </w:p>
    <w:p w:rsidR="00327B7E" w:rsidRDefault="00327B7E">
      <w:pPr>
        <w:rPr>
          <w:sz w:val="20"/>
          <w:szCs w:val="20"/>
        </w:rPr>
      </w:pPr>
      <w:r>
        <w:rPr>
          <w:sz w:val="20"/>
          <w:szCs w:val="20"/>
        </w:rPr>
        <w:t>5' - Нуклеотидаза 5' - НТ индикатор поражения гепатобилиарной системы</w:t>
      </w:r>
    </w:p>
    <w:p w:rsidR="00327B7E" w:rsidRDefault="00327B7E">
      <w:pPr>
        <w:rPr>
          <w:sz w:val="20"/>
          <w:szCs w:val="20"/>
        </w:rPr>
      </w:pPr>
      <w:r>
        <w:rPr>
          <w:sz w:val="20"/>
          <w:szCs w:val="20"/>
        </w:rPr>
        <w:t>γ - Глутаминтрансфераза ГГТФ активна наравне с ЩФ</w:t>
      </w:r>
    </w:p>
    <w:p w:rsidR="00327B7E" w:rsidRDefault="00327B7E">
      <w:pPr>
        <w:rPr>
          <w:sz w:val="20"/>
          <w:szCs w:val="20"/>
        </w:rPr>
      </w:pPr>
      <w:r>
        <w:rPr>
          <w:sz w:val="20"/>
          <w:szCs w:val="20"/>
        </w:rPr>
        <w:t>Протромбиновое время ПВ - показатель активности ряда факторов свертывания крови (</w:t>
      </w:r>
      <w:r>
        <w:rPr>
          <w:sz w:val="20"/>
          <w:szCs w:val="20"/>
          <w:lang w:val="en-US"/>
        </w:rPr>
        <w:t>II</w:t>
      </w:r>
      <w:r>
        <w:rPr>
          <w:sz w:val="20"/>
          <w:szCs w:val="20"/>
        </w:rPr>
        <w:t>,</w:t>
      </w:r>
      <w:r>
        <w:rPr>
          <w:sz w:val="20"/>
          <w:szCs w:val="20"/>
          <w:lang w:val="en-US"/>
        </w:rPr>
        <w:t>VII</w:t>
      </w:r>
      <w:r>
        <w:rPr>
          <w:sz w:val="20"/>
          <w:szCs w:val="20"/>
        </w:rPr>
        <w:t>, I</w:t>
      </w:r>
      <w:r>
        <w:rPr>
          <w:sz w:val="20"/>
          <w:szCs w:val="20"/>
          <w:lang w:val="en-US"/>
        </w:rPr>
        <w:t>X</w:t>
      </w:r>
      <w:r>
        <w:rPr>
          <w:sz w:val="20"/>
          <w:szCs w:val="20"/>
        </w:rPr>
        <w:t>,</w:t>
      </w:r>
      <w:r>
        <w:rPr>
          <w:sz w:val="20"/>
          <w:szCs w:val="20"/>
          <w:lang w:val="en-US"/>
        </w:rPr>
        <w:t>X</w:t>
      </w:r>
      <w:r>
        <w:rPr>
          <w:sz w:val="20"/>
          <w:szCs w:val="20"/>
        </w:rPr>
        <w:t>) - эти факторы синтезируются в печени, поэтому их дефицит быстро возникает при обширном некрозе печ</w:t>
      </w:r>
      <w:r>
        <w:rPr>
          <w:sz w:val="20"/>
          <w:szCs w:val="20"/>
        </w:rPr>
        <w:t>е</w:t>
      </w:r>
      <w:r>
        <w:rPr>
          <w:sz w:val="20"/>
          <w:szCs w:val="20"/>
        </w:rPr>
        <w:t xml:space="preserve">ни (гепатит, токсикоз, цирроз) </w:t>
      </w:r>
    </w:p>
    <w:p w:rsidR="00327B7E" w:rsidRDefault="00327B7E">
      <w:pPr>
        <w:rPr>
          <w:sz w:val="20"/>
          <w:szCs w:val="20"/>
        </w:rPr>
      </w:pPr>
      <w:r>
        <w:rPr>
          <w:sz w:val="20"/>
          <w:szCs w:val="20"/>
        </w:rPr>
        <w:t>Альбумин - снижение содержания в сыворотке крови отражает уменьшение его синтеза в печени</w:t>
      </w:r>
    </w:p>
    <w:p w:rsidR="00327B7E" w:rsidRDefault="00327B7E">
      <w:pPr>
        <w:rPr>
          <w:sz w:val="20"/>
          <w:szCs w:val="20"/>
        </w:rPr>
      </w:pPr>
      <w:r>
        <w:rPr>
          <w:sz w:val="20"/>
          <w:szCs w:val="20"/>
        </w:rPr>
        <w:t>Глобулины - умеренно выраженная поликлональная гиперглобулинемия часто при хронических з</w:t>
      </w:r>
      <w:r>
        <w:rPr>
          <w:sz w:val="20"/>
          <w:szCs w:val="20"/>
        </w:rPr>
        <w:t>а</w:t>
      </w:r>
      <w:r>
        <w:rPr>
          <w:sz w:val="20"/>
          <w:szCs w:val="20"/>
        </w:rPr>
        <w:t xml:space="preserve">болеваниях, существенная при аутоиммунной форме хронического активного гепатита. </w:t>
      </w:r>
    </w:p>
    <w:p w:rsidR="00327B7E" w:rsidRDefault="00327B7E">
      <w:pPr>
        <w:rPr>
          <w:sz w:val="20"/>
          <w:szCs w:val="20"/>
        </w:rPr>
      </w:pPr>
      <w:r>
        <w:rPr>
          <w:sz w:val="20"/>
          <w:szCs w:val="20"/>
        </w:rPr>
        <w:t>Аммиак – уровень повышается при неэффективности печеночных путей детоксикациии портос</w:t>
      </w:r>
      <w:r>
        <w:rPr>
          <w:sz w:val="20"/>
          <w:szCs w:val="20"/>
        </w:rPr>
        <w:t>и</w:t>
      </w:r>
      <w:r>
        <w:rPr>
          <w:sz w:val="20"/>
          <w:szCs w:val="20"/>
        </w:rPr>
        <w:t xml:space="preserve">стемного шунтирования, как бывает при молниеносном гепатите. </w:t>
      </w:r>
    </w:p>
    <w:p w:rsidR="00327B7E" w:rsidRDefault="00327B7E">
      <w:pPr>
        <w:rPr>
          <w:sz w:val="20"/>
          <w:szCs w:val="20"/>
        </w:rPr>
      </w:pPr>
      <w:r>
        <w:rPr>
          <w:sz w:val="20"/>
          <w:szCs w:val="20"/>
        </w:rPr>
        <w:t>Клинический анализ крови. Если печеночные пробы говорят о паренхиматозном поражении, след</w:t>
      </w:r>
      <w:r>
        <w:rPr>
          <w:sz w:val="20"/>
          <w:szCs w:val="20"/>
        </w:rPr>
        <w:t>у</w:t>
      </w:r>
      <w:r>
        <w:rPr>
          <w:sz w:val="20"/>
          <w:szCs w:val="20"/>
        </w:rPr>
        <w:t>ет выполнить серологические и метаболические пробы, и возможно биохимические анализы; холестаз или внепеченочную обструкцию верифицируют с помощью КТ и УЗИ с последующим биохимическим исслед</w:t>
      </w:r>
      <w:r>
        <w:rPr>
          <w:sz w:val="20"/>
          <w:szCs w:val="20"/>
        </w:rPr>
        <w:t>о</w:t>
      </w:r>
      <w:r>
        <w:rPr>
          <w:sz w:val="20"/>
          <w:szCs w:val="20"/>
        </w:rPr>
        <w:t>ванием, холангиографией и дренированием желчевыводящих путей. Прямая гипербилирубинемия без изм</w:t>
      </w:r>
      <w:r>
        <w:rPr>
          <w:sz w:val="20"/>
          <w:szCs w:val="20"/>
        </w:rPr>
        <w:t>е</w:t>
      </w:r>
      <w:r>
        <w:rPr>
          <w:sz w:val="20"/>
          <w:szCs w:val="20"/>
        </w:rPr>
        <w:t xml:space="preserve">нений печеночных ферментов отмечается после недавно перенесенного или в ходе текущего сепсиса, при синдроме Ротора или Дабина – Джонсона. </w:t>
      </w:r>
    </w:p>
    <w:p w:rsidR="00327B7E" w:rsidRDefault="00327B7E">
      <w:pPr>
        <w:rPr>
          <w:sz w:val="20"/>
          <w:szCs w:val="20"/>
        </w:rPr>
      </w:pPr>
    </w:p>
    <w:p w:rsidR="00327B7E" w:rsidRDefault="00327B7E">
      <w:pPr>
        <w:pStyle w:val="1"/>
      </w:pPr>
      <w:r>
        <w:br w:type="page"/>
      </w:r>
      <w:r>
        <w:lastRenderedPageBreak/>
        <w:t>Список использованной литературы</w:t>
      </w:r>
    </w:p>
    <w:p w:rsidR="00327B7E" w:rsidRDefault="00327B7E"/>
    <w:p w:rsidR="00327B7E" w:rsidRDefault="00327B7E">
      <w:pPr>
        <w:pStyle w:val="a0"/>
      </w:pPr>
      <w:r>
        <w:t xml:space="preserve">Г.И. Козинец интерпретация анализов крови и мочи АОЗТ "Салинец" 1997г. </w:t>
      </w:r>
    </w:p>
    <w:p w:rsidR="00327B7E" w:rsidRDefault="00327B7E">
      <w:pPr>
        <w:pStyle w:val="a0"/>
      </w:pPr>
      <w:r>
        <w:t>Лифщиц В.М., СидельниковаВ.И. Биохимические анализы в клинике Москва 2001.</w:t>
      </w:r>
    </w:p>
    <w:p w:rsidR="00327B7E" w:rsidRDefault="00327B7E">
      <w:pPr>
        <w:pStyle w:val="a0"/>
      </w:pPr>
      <w:r>
        <w:t>Терапевтический справочник Вашингтонского уинверситета Ч. Кери, К. Вельте. "Практика" Москва 2000.</w:t>
      </w:r>
    </w:p>
    <w:p w:rsidR="00327B7E" w:rsidRDefault="00327B7E">
      <w:pPr>
        <w:pStyle w:val="a0"/>
      </w:pPr>
      <w:r>
        <w:t xml:space="preserve">К. Иссельбахер, Е. Браунвальда, Дж. Вильсон, А. Фаучи, Д. Каспер " Спутник врача" Питер 1999. </w:t>
      </w:r>
    </w:p>
    <w:sectPr w:rsidR="00327B7E">
      <w:headerReference w:type="default" r:id="rId8"/>
      <w:footerReference w:type="default" r:id="rId9"/>
      <w:headerReference w:type="first" r:id="rId10"/>
      <w:footerReference w:type="first" r:id="rId11"/>
      <w:pgSz w:w="11906" w:h="16838"/>
      <w:pgMar w:top="1134" w:right="850" w:bottom="1134" w:left="1701" w:header="283"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D9" w:rsidRDefault="00E05BD9">
      <w:pPr>
        <w:spacing w:line="240" w:lineRule="auto"/>
      </w:pPr>
      <w:r>
        <w:separator/>
      </w:r>
    </w:p>
  </w:endnote>
  <w:endnote w:type="continuationSeparator" w:id="0">
    <w:p w:rsidR="00E05BD9" w:rsidRDefault="00E05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E" w:rsidRDefault="00327B7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E" w:rsidRDefault="00327B7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D9" w:rsidRDefault="00E05BD9">
      <w:pPr>
        <w:spacing w:line="240" w:lineRule="auto"/>
      </w:pPr>
      <w:r>
        <w:separator/>
      </w:r>
    </w:p>
  </w:footnote>
  <w:footnote w:type="continuationSeparator" w:id="0">
    <w:p w:rsidR="00E05BD9" w:rsidRDefault="00E05B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E" w:rsidRDefault="00327B7E">
    <w:pPr>
      <w:pStyle w:val="a5"/>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D4584">
      <w:rPr>
        <w:rStyle w:val="af"/>
      </w:rPr>
      <w:t>5</w:t>
    </w:r>
    <w:r>
      <w:rPr>
        <w:rStyle w:val="af"/>
      </w:rPr>
      <w:fldChar w:fldCharType="end"/>
    </w:r>
  </w:p>
  <w:p w:rsidR="00327B7E" w:rsidRDefault="00327B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E" w:rsidRDefault="00327B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336"/>
    <w:multiLevelType w:val="singleLevel"/>
    <w:tmpl w:val="06180DB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5CA15AB9"/>
    <w:multiLevelType w:val="hybridMultilevel"/>
    <w:tmpl w:val="508450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769F1318"/>
    <w:multiLevelType w:val="hybridMultilevel"/>
    <w:tmpl w:val="C3A8B2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DD34BEA"/>
    <w:multiLevelType w:val="singleLevel"/>
    <w:tmpl w:val="1D2A4736"/>
    <w:lvl w:ilvl="0">
      <w:start w:val="1"/>
      <w:numFmt w:val="decimal"/>
      <w:pStyle w:val="a0"/>
      <w:lvlText w:val="%1."/>
      <w:lvlJc w:val="left"/>
      <w:pPr>
        <w:tabs>
          <w:tab w:val="num" w:pos="1080"/>
        </w:tabs>
        <w:ind w:firstLine="720"/>
      </w:pPr>
    </w:lvl>
  </w:abstractNum>
  <w:abstractNum w:abstractNumId="4">
    <w:nsid w:val="7DEF069A"/>
    <w:multiLevelType w:val="hybridMultilevel"/>
    <w:tmpl w:val="EDCC39A2"/>
    <w:lvl w:ilvl="0" w:tplc="040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4D"/>
    <w:rsid w:val="00327B7E"/>
    <w:rsid w:val="00363B7D"/>
    <w:rsid w:val="009610A0"/>
    <w:rsid w:val="00AE0E4D"/>
    <w:rsid w:val="00E05BD9"/>
    <w:rsid w:val="00FD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qFormat/>
    <w:pPr>
      <w:keepNext/>
      <w:ind w:firstLine="0"/>
      <w:jc w:val="center"/>
      <w:outlineLvl w:val="0"/>
    </w:pPr>
    <w:rPr>
      <w:b/>
      <w:bCs/>
      <w:caps/>
      <w:noProof/>
      <w:kern w:val="16"/>
    </w:rPr>
  </w:style>
  <w:style w:type="paragraph" w:styleId="2">
    <w:name w:val="heading 2"/>
    <w:basedOn w:val="a1"/>
    <w:next w:val="a1"/>
    <w:qFormat/>
    <w:pPr>
      <w:keepNext/>
      <w:ind w:firstLine="0"/>
      <w:jc w:val="center"/>
      <w:outlineLvl w:val="1"/>
    </w:pPr>
    <w:rPr>
      <w:b/>
      <w:bCs/>
      <w:i/>
      <w:iCs/>
      <w:smallCaps/>
      <w:noProof/>
      <w:kern w:val="16"/>
    </w:rPr>
  </w:style>
  <w:style w:type="paragraph" w:styleId="3">
    <w:name w:val="heading 3"/>
    <w:basedOn w:val="a1"/>
    <w:next w:val="a1"/>
    <w:qFormat/>
    <w:pPr>
      <w:keepNext/>
      <w:outlineLvl w:val="2"/>
    </w:pPr>
    <w:rPr>
      <w:b/>
      <w:bCs/>
      <w:noProof/>
    </w:rPr>
  </w:style>
  <w:style w:type="paragraph" w:styleId="4">
    <w:name w:val="heading 4"/>
    <w:basedOn w:val="a1"/>
    <w:next w:val="a1"/>
    <w:qFormat/>
    <w:pPr>
      <w:keepNext/>
      <w:ind w:firstLine="0"/>
      <w:jc w:val="center"/>
      <w:outlineLvl w:val="3"/>
    </w:pPr>
    <w:rPr>
      <w:i/>
      <w:iCs/>
      <w:noProof/>
    </w:rPr>
  </w:style>
  <w:style w:type="paragraph" w:styleId="5">
    <w:name w:val="heading 5"/>
    <w:basedOn w:val="a1"/>
    <w:next w:val="a1"/>
    <w:qFormat/>
    <w:pPr>
      <w:keepNext/>
      <w:ind w:left="737"/>
      <w:outlineLvl w:val="4"/>
    </w:pPr>
  </w:style>
  <w:style w:type="paragraph" w:styleId="6">
    <w:name w:val="heading 6"/>
    <w:basedOn w:val="a1"/>
    <w:next w:val="a1"/>
    <w:qFormat/>
    <w:pPr>
      <w:keepNext/>
      <w:jc w:val="center"/>
      <w:outlineLvl w:val="5"/>
    </w:pPr>
    <w:rPr>
      <w:b/>
      <w:bCs/>
      <w:sz w:val="30"/>
      <w:szCs w:val="30"/>
    </w:rPr>
  </w:style>
  <w:style w:type="paragraph" w:styleId="7">
    <w:name w:val="heading 7"/>
    <w:basedOn w:val="a1"/>
    <w:next w:val="a1"/>
    <w:qFormat/>
    <w:pPr>
      <w:keepNext/>
      <w:outlineLvl w:val="6"/>
    </w:pPr>
    <w:rPr>
      <w:sz w:val="24"/>
      <w:szCs w:val="24"/>
    </w:rPr>
  </w:style>
  <w:style w:type="paragraph" w:styleId="8">
    <w:name w:val="heading 8"/>
    <w:basedOn w:val="a1"/>
    <w:next w:val="a1"/>
    <w:qFormat/>
    <w:pPr>
      <w:keepNext/>
      <w:outlineLvl w:val="7"/>
    </w:pPr>
    <w:rPr>
      <w:rFonts w:ascii="Arial" w:hAnsi="Arial" w:cs="Arial"/>
      <w:b/>
      <w:bCs/>
      <w:sz w:val="32"/>
      <w:szCs w:val="32"/>
    </w:rPr>
  </w:style>
  <w:style w:type="character" w:default="1" w:styleId="a2">
    <w:name w:val="Default Paragraph Font"/>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next w:val="a6"/>
    <w:pPr>
      <w:tabs>
        <w:tab w:val="center" w:pos="4677"/>
        <w:tab w:val="right" w:pos="9355"/>
      </w:tabs>
      <w:jc w:val="right"/>
    </w:pPr>
    <w:rPr>
      <w:noProof/>
      <w:kern w:val="16"/>
    </w:rPr>
  </w:style>
  <w:style w:type="paragraph" w:styleId="a6">
    <w:name w:val="Body Text"/>
    <w:basedOn w:val="a1"/>
  </w:style>
  <w:style w:type="character" w:customStyle="1" w:styleId="a7">
    <w:name w:val="Верхний колонтитул Знак"/>
    <w:rPr>
      <w:kern w:val="16"/>
      <w:sz w:val="24"/>
      <w:szCs w:val="24"/>
    </w:rPr>
  </w:style>
  <w:style w:type="paragraph" w:customStyle="1" w:styleId="a8">
    <w:name w:val="выделение"/>
    <w:pPr>
      <w:spacing w:line="360" w:lineRule="auto"/>
      <w:ind w:firstLine="709"/>
      <w:jc w:val="both"/>
    </w:pPr>
    <w:rPr>
      <w:b/>
      <w:bCs/>
      <w:i/>
      <w:iCs/>
      <w:noProof/>
      <w:sz w:val="28"/>
      <w:szCs w:val="28"/>
    </w:rPr>
  </w:style>
  <w:style w:type="character" w:styleId="a9">
    <w:name w:val="footnote reference"/>
    <w:rPr>
      <w:sz w:val="28"/>
      <w:szCs w:val="28"/>
      <w:vertAlign w:val="superscript"/>
    </w:rPr>
  </w:style>
  <w:style w:type="paragraph" w:styleId="10">
    <w:name w:val="toc 1"/>
    <w:basedOn w:val="a1"/>
    <w:next w:val="a1"/>
    <w:autoRedefine/>
    <w:pPr>
      <w:jc w:val="left"/>
    </w:pPr>
    <w:rPr>
      <w:b/>
      <w:bCs/>
      <w:caps/>
    </w:rPr>
  </w:style>
  <w:style w:type="paragraph" w:styleId="20">
    <w:name w:val="toc 2"/>
    <w:basedOn w:val="a1"/>
    <w:next w:val="a1"/>
    <w:autoRedefine/>
    <w:pPr>
      <w:ind w:left="998"/>
      <w:jc w:val="left"/>
    </w:pPr>
    <w:rPr>
      <w:smallCaps/>
    </w:rPr>
  </w:style>
  <w:style w:type="paragraph" w:styleId="30">
    <w:name w:val="toc 3"/>
    <w:basedOn w:val="a1"/>
    <w:next w:val="a1"/>
    <w:autoRedefine/>
    <w:pPr>
      <w:ind w:left="560"/>
      <w:jc w:val="left"/>
    </w:pPr>
    <w:rPr>
      <w:i/>
      <w:iCs/>
    </w:rPr>
  </w:style>
  <w:style w:type="paragraph" w:styleId="40">
    <w:name w:val="toc 4"/>
    <w:basedOn w:val="a1"/>
    <w:next w:val="a1"/>
    <w:autoRedefine/>
    <w:pPr>
      <w:tabs>
        <w:tab w:val="right" w:leader="dot" w:pos="9345"/>
      </w:tabs>
      <w:ind w:left="1407" w:firstLine="33"/>
    </w:pPr>
    <w:rPr>
      <w:noProof/>
    </w:rPr>
  </w:style>
  <w:style w:type="paragraph" w:styleId="50">
    <w:name w:val="toc 5"/>
    <w:basedOn w:val="a1"/>
    <w:next w:val="a1"/>
    <w:autoRedefine/>
    <w:pPr>
      <w:ind w:left="958"/>
    </w:pPr>
  </w:style>
  <w:style w:type="paragraph" w:customStyle="1" w:styleId="a">
    <w:name w:val="список ненумерованный"/>
    <w:pPr>
      <w:numPr>
        <w:numId w:val="4"/>
      </w:numPr>
      <w:spacing w:line="360" w:lineRule="auto"/>
      <w:jc w:val="both"/>
    </w:pPr>
    <w:rPr>
      <w:noProof/>
      <w:sz w:val="28"/>
      <w:szCs w:val="28"/>
    </w:rPr>
  </w:style>
  <w:style w:type="paragraph" w:customStyle="1" w:styleId="a0">
    <w:name w:val="список нумерованный"/>
    <w:pPr>
      <w:numPr>
        <w:numId w:val="5"/>
      </w:numPr>
      <w:tabs>
        <w:tab w:val="num" w:pos="1276"/>
      </w:tabs>
      <w:spacing w:line="360" w:lineRule="auto"/>
      <w:jc w:val="both"/>
    </w:pPr>
    <w:rPr>
      <w:noProof/>
      <w:sz w:val="28"/>
      <w:szCs w:val="28"/>
    </w:rPr>
  </w:style>
  <w:style w:type="paragraph" w:customStyle="1" w:styleId="aa">
    <w:name w:val="схема"/>
    <w:pPr>
      <w:jc w:val="center"/>
    </w:pPr>
    <w:rPr>
      <w:noProof/>
      <w:sz w:val="24"/>
      <w:szCs w:val="24"/>
    </w:rPr>
  </w:style>
  <w:style w:type="paragraph" w:customStyle="1" w:styleId="ab">
    <w:name w:val="ТАБЛИЦА"/>
    <w:pPr>
      <w:jc w:val="center"/>
    </w:pPr>
  </w:style>
  <w:style w:type="paragraph" w:styleId="ac">
    <w:name w:val="footnote text"/>
    <w:basedOn w:val="a1"/>
  </w:style>
  <w:style w:type="paragraph" w:customStyle="1" w:styleId="ad">
    <w:name w:val="титут"/>
    <w:pPr>
      <w:spacing w:line="360" w:lineRule="auto"/>
      <w:jc w:val="center"/>
    </w:pPr>
    <w:rPr>
      <w:noProof/>
      <w:sz w:val="28"/>
      <w:szCs w:val="28"/>
    </w:rPr>
  </w:style>
  <w:style w:type="paragraph" w:styleId="ae">
    <w:name w:val="footer"/>
    <w:basedOn w:val="a1"/>
    <w:pPr>
      <w:tabs>
        <w:tab w:val="center" w:pos="4677"/>
        <w:tab w:val="right" w:pos="9355"/>
      </w:tabs>
    </w:pPr>
  </w:style>
  <w:style w:type="character" w:styleId="af">
    <w:name w:val="page number"/>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qFormat/>
    <w:pPr>
      <w:keepNext/>
      <w:ind w:firstLine="0"/>
      <w:jc w:val="center"/>
      <w:outlineLvl w:val="0"/>
    </w:pPr>
    <w:rPr>
      <w:b/>
      <w:bCs/>
      <w:caps/>
      <w:noProof/>
      <w:kern w:val="16"/>
    </w:rPr>
  </w:style>
  <w:style w:type="paragraph" w:styleId="2">
    <w:name w:val="heading 2"/>
    <w:basedOn w:val="a1"/>
    <w:next w:val="a1"/>
    <w:qFormat/>
    <w:pPr>
      <w:keepNext/>
      <w:ind w:firstLine="0"/>
      <w:jc w:val="center"/>
      <w:outlineLvl w:val="1"/>
    </w:pPr>
    <w:rPr>
      <w:b/>
      <w:bCs/>
      <w:i/>
      <w:iCs/>
      <w:smallCaps/>
      <w:noProof/>
      <w:kern w:val="16"/>
    </w:rPr>
  </w:style>
  <w:style w:type="paragraph" w:styleId="3">
    <w:name w:val="heading 3"/>
    <w:basedOn w:val="a1"/>
    <w:next w:val="a1"/>
    <w:qFormat/>
    <w:pPr>
      <w:keepNext/>
      <w:outlineLvl w:val="2"/>
    </w:pPr>
    <w:rPr>
      <w:b/>
      <w:bCs/>
      <w:noProof/>
    </w:rPr>
  </w:style>
  <w:style w:type="paragraph" w:styleId="4">
    <w:name w:val="heading 4"/>
    <w:basedOn w:val="a1"/>
    <w:next w:val="a1"/>
    <w:qFormat/>
    <w:pPr>
      <w:keepNext/>
      <w:ind w:firstLine="0"/>
      <w:jc w:val="center"/>
      <w:outlineLvl w:val="3"/>
    </w:pPr>
    <w:rPr>
      <w:i/>
      <w:iCs/>
      <w:noProof/>
    </w:rPr>
  </w:style>
  <w:style w:type="paragraph" w:styleId="5">
    <w:name w:val="heading 5"/>
    <w:basedOn w:val="a1"/>
    <w:next w:val="a1"/>
    <w:qFormat/>
    <w:pPr>
      <w:keepNext/>
      <w:ind w:left="737"/>
      <w:outlineLvl w:val="4"/>
    </w:pPr>
  </w:style>
  <w:style w:type="paragraph" w:styleId="6">
    <w:name w:val="heading 6"/>
    <w:basedOn w:val="a1"/>
    <w:next w:val="a1"/>
    <w:qFormat/>
    <w:pPr>
      <w:keepNext/>
      <w:jc w:val="center"/>
      <w:outlineLvl w:val="5"/>
    </w:pPr>
    <w:rPr>
      <w:b/>
      <w:bCs/>
      <w:sz w:val="30"/>
      <w:szCs w:val="30"/>
    </w:rPr>
  </w:style>
  <w:style w:type="paragraph" w:styleId="7">
    <w:name w:val="heading 7"/>
    <w:basedOn w:val="a1"/>
    <w:next w:val="a1"/>
    <w:qFormat/>
    <w:pPr>
      <w:keepNext/>
      <w:outlineLvl w:val="6"/>
    </w:pPr>
    <w:rPr>
      <w:sz w:val="24"/>
      <w:szCs w:val="24"/>
    </w:rPr>
  </w:style>
  <w:style w:type="paragraph" w:styleId="8">
    <w:name w:val="heading 8"/>
    <w:basedOn w:val="a1"/>
    <w:next w:val="a1"/>
    <w:qFormat/>
    <w:pPr>
      <w:keepNext/>
      <w:outlineLvl w:val="7"/>
    </w:pPr>
    <w:rPr>
      <w:rFonts w:ascii="Arial" w:hAnsi="Arial" w:cs="Arial"/>
      <w:b/>
      <w:bCs/>
      <w:sz w:val="32"/>
      <w:szCs w:val="32"/>
    </w:rPr>
  </w:style>
  <w:style w:type="character" w:default="1" w:styleId="a2">
    <w:name w:val="Default Paragraph Font"/>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next w:val="a6"/>
    <w:pPr>
      <w:tabs>
        <w:tab w:val="center" w:pos="4677"/>
        <w:tab w:val="right" w:pos="9355"/>
      </w:tabs>
      <w:jc w:val="right"/>
    </w:pPr>
    <w:rPr>
      <w:noProof/>
      <w:kern w:val="16"/>
    </w:rPr>
  </w:style>
  <w:style w:type="paragraph" w:styleId="a6">
    <w:name w:val="Body Text"/>
    <w:basedOn w:val="a1"/>
  </w:style>
  <w:style w:type="character" w:customStyle="1" w:styleId="a7">
    <w:name w:val="Верхний колонтитул Знак"/>
    <w:rPr>
      <w:kern w:val="16"/>
      <w:sz w:val="24"/>
      <w:szCs w:val="24"/>
    </w:rPr>
  </w:style>
  <w:style w:type="paragraph" w:customStyle="1" w:styleId="a8">
    <w:name w:val="выделение"/>
    <w:pPr>
      <w:spacing w:line="360" w:lineRule="auto"/>
      <w:ind w:firstLine="709"/>
      <w:jc w:val="both"/>
    </w:pPr>
    <w:rPr>
      <w:b/>
      <w:bCs/>
      <w:i/>
      <w:iCs/>
      <w:noProof/>
      <w:sz w:val="28"/>
      <w:szCs w:val="28"/>
    </w:rPr>
  </w:style>
  <w:style w:type="character" w:styleId="a9">
    <w:name w:val="footnote reference"/>
    <w:rPr>
      <w:sz w:val="28"/>
      <w:szCs w:val="28"/>
      <w:vertAlign w:val="superscript"/>
    </w:rPr>
  </w:style>
  <w:style w:type="paragraph" w:styleId="10">
    <w:name w:val="toc 1"/>
    <w:basedOn w:val="a1"/>
    <w:next w:val="a1"/>
    <w:autoRedefine/>
    <w:pPr>
      <w:jc w:val="left"/>
    </w:pPr>
    <w:rPr>
      <w:b/>
      <w:bCs/>
      <w:caps/>
    </w:rPr>
  </w:style>
  <w:style w:type="paragraph" w:styleId="20">
    <w:name w:val="toc 2"/>
    <w:basedOn w:val="a1"/>
    <w:next w:val="a1"/>
    <w:autoRedefine/>
    <w:pPr>
      <w:ind w:left="998"/>
      <w:jc w:val="left"/>
    </w:pPr>
    <w:rPr>
      <w:smallCaps/>
    </w:rPr>
  </w:style>
  <w:style w:type="paragraph" w:styleId="30">
    <w:name w:val="toc 3"/>
    <w:basedOn w:val="a1"/>
    <w:next w:val="a1"/>
    <w:autoRedefine/>
    <w:pPr>
      <w:ind w:left="560"/>
      <w:jc w:val="left"/>
    </w:pPr>
    <w:rPr>
      <w:i/>
      <w:iCs/>
    </w:rPr>
  </w:style>
  <w:style w:type="paragraph" w:styleId="40">
    <w:name w:val="toc 4"/>
    <w:basedOn w:val="a1"/>
    <w:next w:val="a1"/>
    <w:autoRedefine/>
    <w:pPr>
      <w:tabs>
        <w:tab w:val="right" w:leader="dot" w:pos="9345"/>
      </w:tabs>
      <w:ind w:left="1407" w:firstLine="33"/>
    </w:pPr>
    <w:rPr>
      <w:noProof/>
    </w:rPr>
  </w:style>
  <w:style w:type="paragraph" w:styleId="50">
    <w:name w:val="toc 5"/>
    <w:basedOn w:val="a1"/>
    <w:next w:val="a1"/>
    <w:autoRedefine/>
    <w:pPr>
      <w:ind w:left="958"/>
    </w:pPr>
  </w:style>
  <w:style w:type="paragraph" w:customStyle="1" w:styleId="a">
    <w:name w:val="список ненумерованный"/>
    <w:pPr>
      <w:numPr>
        <w:numId w:val="4"/>
      </w:numPr>
      <w:spacing w:line="360" w:lineRule="auto"/>
      <w:jc w:val="both"/>
    </w:pPr>
    <w:rPr>
      <w:noProof/>
      <w:sz w:val="28"/>
      <w:szCs w:val="28"/>
    </w:rPr>
  </w:style>
  <w:style w:type="paragraph" w:customStyle="1" w:styleId="a0">
    <w:name w:val="список нумерованный"/>
    <w:pPr>
      <w:numPr>
        <w:numId w:val="5"/>
      </w:numPr>
      <w:tabs>
        <w:tab w:val="num" w:pos="1276"/>
      </w:tabs>
      <w:spacing w:line="360" w:lineRule="auto"/>
      <w:jc w:val="both"/>
    </w:pPr>
    <w:rPr>
      <w:noProof/>
      <w:sz w:val="28"/>
      <w:szCs w:val="28"/>
    </w:rPr>
  </w:style>
  <w:style w:type="paragraph" w:customStyle="1" w:styleId="aa">
    <w:name w:val="схема"/>
    <w:pPr>
      <w:jc w:val="center"/>
    </w:pPr>
    <w:rPr>
      <w:noProof/>
      <w:sz w:val="24"/>
      <w:szCs w:val="24"/>
    </w:rPr>
  </w:style>
  <w:style w:type="paragraph" w:customStyle="1" w:styleId="ab">
    <w:name w:val="ТАБЛИЦА"/>
    <w:pPr>
      <w:jc w:val="center"/>
    </w:pPr>
  </w:style>
  <w:style w:type="paragraph" w:styleId="ac">
    <w:name w:val="footnote text"/>
    <w:basedOn w:val="a1"/>
  </w:style>
  <w:style w:type="paragraph" w:customStyle="1" w:styleId="ad">
    <w:name w:val="титут"/>
    <w:pPr>
      <w:spacing w:line="360" w:lineRule="auto"/>
      <w:jc w:val="center"/>
    </w:pPr>
    <w:rPr>
      <w:noProof/>
      <w:sz w:val="28"/>
      <w:szCs w:val="28"/>
    </w:rPr>
  </w:style>
  <w:style w:type="paragraph" w:styleId="ae">
    <w:name w:val="footer"/>
    <w:basedOn w:val="a1"/>
    <w:pPr>
      <w:tabs>
        <w:tab w:val="center" w:pos="4677"/>
        <w:tab w:val="right" w:pos="9355"/>
      </w:tabs>
    </w:pPr>
  </w:style>
  <w:style w:type="character" w:styleId="af">
    <w:name w:val="page number"/>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Татарстан</vt:lpstr>
    </vt:vector>
  </TitlesOfParts>
  <Company>workgroup</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Татарстан</dc:title>
  <dc:creator>User</dc:creator>
  <cp:lastModifiedBy>Igor</cp:lastModifiedBy>
  <cp:revision>2</cp:revision>
  <dcterms:created xsi:type="dcterms:W3CDTF">2024-05-26T06:20:00Z</dcterms:created>
  <dcterms:modified xsi:type="dcterms:W3CDTF">2024-05-26T06:20:00Z</dcterms:modified>
</cp:coreProperties>
</file>