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73" w:rsidRPr="00140673" w:rsidRDefault="00140673" w:rsidP="00FC0619">
      <w:pPr>
        <w:pStyle w:val="3"/>
        <w:jc w:val="center"/>
      </w:pPr>
      <w:bookmarkStart w:id="0" w:name="_Toc346594299"/>
      <w:bookmarkStart w:id="1" w:name="_GoBack"/>
      <w:bookmarkEnd w:id="1"/>
      <w:r w:rsidRPr="00140673">
        <w:t>Бруцеллез. Этиология и географическое распределение, профилактика болезни</w:t>
      </w:r>
    </w:p>
    <w:bookmarkEnd w:id="0"/>
    <w:p w:rsidR="00140673" w:rsidRPr="00140673" w:rsidRDefault="00140673" w:rsidP="00FC0619">
      <w:pPr>
        <w:pStyle w:val="a3"/>
        <w:ind w:firstLine="709"/>
        <w:jc w:val="both"/>
      </w:pPr>
      <w:r w:rsidRPr="00140673">
        <w:rPr>
          <w:b/>
          <w:bCs/>
        </w:rPr>
        <w:t xml:space="preserve">БРУЦЕЛЛЕЗ </w:t>
      </w:r>
      <w:r w:rsidRPr="00140673">
        <w:t xml:space="preserve">- зоонозное инфекционно-аллергическое заболевание, характеризующееся общей интоксикацией, поражением опорно-двигательного аппарата, нервной и половой систем. Хронически протекающая инфекционная болезнь домашних и некоторых видов диких животных, опасная и для человека. Возбудителем бруцеллёза являются очень мелки, не образующие спор бактерии называемые </w:t>
      </w:r>
      <w:proofErr w:type="spellStart"/>
      <w:r w:rsidRPr="00140673">
        <w:t>бруцеллами</w:t>
      </w:r>
      <w:proofErr w:type="spellEnd"/>
      <w:r w:rsidRPr="00140673">
        <w:t xml:space="preserve">. Известно 6 видов </w:t>
      </w:r>
      <w:proofErr w:type="spellStart"/>
      <w:r w:rsidRPr="00140673">
        <w:t>бруцелл</w:t>
      </w:r>
      <w:proofErr w:type="spellEnd"/>
      <w:r w:rsidRPr="00140673">
        <w:t xml:space="preserve">. Наибольшее значение имеют </w:t>
      </w:r>
      <w:proofErr w:type="spellStart"/>
      <w:r w:rsidRPr="00140673">
        <w:t>бруцеллы</w:t>
      </w:r>
      <w:proofErr w:type="spellEnd"/>
      <w:r w:rsidRPr="00140673">
        <w:t xml:space="preserve"> коз и овец, затем - </w:t>
      </w:r>
      <w:proofErr w:type="spellStart"/>
      <w:r w:rsidRPr="00140673">
        <w:t>бруцеллы</w:t>
      </w:r>
      <w:proofErr w:type="spellEnd"/>
      <w:r w:rsidRPr="00140673">
        <w:t xml:space="preserve"> крупного рогатого скота и свиней. Возбудитель устойчив во внешней среде, а также в пищевых продуктах (молоко, брынза). При пастеризации молока </w:t>
      </w:r>
      <w:proofErr w:type="spellStart"/>
      <w:r w:rsidRPr="00140673">
        <w:t>бруцеллы</w:t>
      </w:r>
      <w:proofErr w:type="spellEnd"/>
      <w:r w:rsidRPr="00140673">
        <w:t xml:space="preserve"> погибают за 30 минут. На объектах внешней среды, загрязнённых выделениями животных, </w:t>
      </w:r>
      <w:proofErr w:type="spellStart"/>
      <w:r w:rsidRPr="00140673">
        <w:t>бруцеллы</w:t>
      </w:r>
      <w:proofErr w:type="spellEnd"/>
      <w:r w:rsidRPr="00140673">
        <w:t xml:space="preserve"> могут сохраняться неделями. Заражение происходит алиментарным путем или через </w:t>
      </w:r>
      <w:proofErr w:type="spellStart"/>
      <w:r w:rsidRPr="00140673">
        <w:t>икроповреждения</w:t>
      </w:r>
      <w:proofErr w:type="spellEnd"/>
      <w:r w:rsidRPr="00140673">
        <w:t xml:space="preserve"> кожи (во время помощи при отелах, ягнении и т. д.), </w:t>
      </w:r>
      <w:proofErr w:type="spellStart"/>
      <w:r w:rsidRPr="00140673">
        <w:t>тоесть</w:t>
      </w:r>
      <w:proofErr w:type="spellEnd"/>
      <w:r w:rsidRPr="00140673">
        <w:t xml:space="preserve"> при употреблении абортированных плодов, мяса или молока больных бруцеллёзом коров, овец, свиней. Возбудитель </w:t>
      </w:r>
      <w:proofErr w:type="spellStart"/>
      <w:r w:rsidRPr="00140673">
        <w:t>гематогенно</w:t>
      </w:r>
      <w:proofErr w:type="spellEnd"/>
      <w:r w:rsidRPr="00140673">
        <w:t xml:space="preserve"> распространяется по всему организму, приводит к </w:t>
      </w:r>
      <w:proofErr w:type="spellStart"/>
      <w:r w:rsidRPr="00140673">
        <w:t>аллергопатии</w:t>
      </w:r>
      <w:proofErr w:type="spellEnd"/>
      <w:r w:rsidRPr="00140673">
        <w:t xml:space="preserve"> и формированию очагов в различных органах и системах.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Значение бруцеллеза для общественного здравоохранения объясняется прямой или косвенной передачей инфекции от зараженных животных человеку, что приводит к заболеванию, инвалидности и потери трудоспособности. При этом бруцеллез стоит на 1-ом месте среди причин профессиональных заболеваний (Ю.Н. Федоров, В.В. </w:t>
      </w:r>
      <w:proofErr w:type="spellStart"/>
      <w:r w:rsidRPr="00140673">
        <w:t>Горшенко</w:t>
      </w:r>
      <w:proofErr w:type="spellEnd"/>
      <w:r w:rsidRPr="00140673">
        <w:t xml:space="preserve">, 1982).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Данная инфекция также приводит к значительному уменьшению продуктов питания, особенно полноценных белков животного происхождения необходимых для здоровья и благополучия человека. Потери поголовья скота и, следовательно животного белка происходят вследствие абортов, преждевременных отелов, бесплодия и уменьшения лактации. Наиболее поражены бруцеллезом сельскохозяйственные животные и регистрируется высокая заболеваемость людей в странах </w:t>
      </w:r>
      <w:proofErr w:type="spellStart"/>
      <w:r w:rsidRPr="00140673">
        <w:t>Среднеземноморского</w:t>
      </w:r>
      <w:proofErr w:type="spellEnd"/>
      <w:r w:rsidRPr="00140673">
        <w:t xml:space="preserve"> бассейна, Латинской Америки и Средней Азии. </w:t>
      </w:r>
    </w:p>
    <w:p w:rsidR="00140673" w:rsidRPr="00140673" w:rsidRDefault="00140673" w:rsidP="00FC0619">
      <w:pPr>
        <w:pStyle w:val="a3"/>
        <w:ind w:firstLine="709"/>
        <w:jc w:val="both"/>
      </w:pPr>
      <w:bookmarkStart w:id="2" w:name="_Toc346594300"/>
      <w:r w:rsidRPr="00140673">
        <w:t xml:space="preserve">Бруцеллез относят к особо опасным инфекциям (ООИ); ООИ - это инфекции, которые могут возникать среди населения в виде отдельных заболеваний, эпидемий и даже пандемий, чаще сопровождая ЧС (стихийные бедствия, войны, массовый голод и т.п.), характеризующиеся природной </w:t>
      </w:r>
      <w:proofErr w:type="spellStart"/>
      <w:r w:rsidRPr="00140673">
        <w:t>очаговостью</w:t>
      </w:r>
      <w:proofErr w:type="spellEnd"/>
      <w:r w:rsidRPr="00140673">
        <w:t xml:space="preserve">, быстрым распространением и тяжелым течением. Резкое ухудшение санитарно-гигиенических условий обостряет эпидемическую ситуацию по инфекциям, которые раннее имели эндемических характер, а </w:t>
      </w:r>
      <w:proofErr w:type="spellStart"/>
      <w:r w:rsidRPr="00140673">
        <w:t>завезение</w:t>
      </w:r>
      <w:proofErr w:type="spellEnd"/>
      <w:r w:rsidRPr="00140673">
        <w:t xml:space="preserve"> инфекции извне прибывающими лицами приводит к тому, что потенциальные источники инфекции оказываются неизолированными и в течение длительного времени имеют многочисленные контакты с окружающими их лицами.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Опасность бруцеллеза заключается еще и в том, что в большинстве случаев он протекает скрытно, бессимптомно или же признаки бывают не характерны.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Инкубационный период продолжается от 6 до 30 дней. Бруцеллез характеризуется полиморфизмом клинических проявлений. У некоторых инфицированных возникает первично-латентная форма без клинических симптомов, которая проявляется лишь иммунологическими реакциями. У других заболевание протекает в острой (остросептической) или в хронических (первично-хроническая метастатическая и вторично-хроническая метастатическая) формах.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Заболевание переходит во вторично-латентную форму после исчезновения клинических симптомов (при сохранении </w:t>
      </w:r>
      <w:proofErr w:type="spellStart"/>
      <w:r w:rsidRPr="00140673">
        <w:t>бруцелл</w:t>
      </w:r>
      <w:proofErr w:type="spellEnd"/>
      <w:r w:rsidRPr="00140673">
        <w:t xml:space="preserve"> в организме), которая при ослаблении организма может вновь обостриться и снова перейти в одну из хронических форм.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lastRenderedPageBreak/>
        <w:t xml:space="preserve">Остросептическая форма бруцеллеза характеризуется высокой лихорадкой (до 40гр. С), при которой самочувствие больных остается хорошим (иногда они даже сохраняют трудоспособность). Отмечаются умеренная головная боль, повторные </w:t>
      </w:r>
      <w:proofErr w:type="spellStart"/>
      <w:r w:rsidRPr="00140673">
        <w:t>познабливания</w:t>
      </w:r>
      <w:proofErr w:type="spellEnd"/>
      <w:r w:rsidRPr="00140673">
        <w:t>, повышенная потливость. Умеренно увеличены все группы периферических лимфатических узлов (</w:t>
      </w:r>
      <w:proofErr w:type="spellStart"/>
      <w:r w:rsidRPr="00140673">
        <w:t>микрополиаденит</w:t>
      </w:r>
      <w:proofErr w:type="spellEnd"/>
      <w:r w:rsidRPr="00140673">
        <w:t xml:space="preserve">), печень и селезенка. При хронических формах на фоне субфебрильной (реже </w:t>
      </w:r>
      <w:proofErr w:type="spellStart"/>
      <w:r w:rsidRPr="00140673">
        <w:t>фебрильной</w:t>
      </w:r>
      <w:proofErr w:type="spellEnd"/>
      <w:r w:rsidRPr="00140673">
        <w:t xml:space="preserve">) температуры и </w:t>
      </w:r>
      <w:proofErr w:type="spellStart"/>
      <w:r w:rsidRPr="00140673">
        <w:t>ретикулоэндотелиоза</w:t>
      </w:r>
      <w:proofErr w:type="spellEnd"/>
      <w:r w:rsidRPr="00140673">
        <w:t xml:space="preserve"> (</w:t>
      </w:r>
      <w:proofErr w:type="spellStart"/>
      <w:r w:rsidRPr="00140673">
        <w:t>микрополиаденит</w:t>
      </w:r>
      <w:proofErr w:type="spellEnd"/>
      <w:r w:rsidRPr="00140673">
        <w:t>, увеличение печени и селезенки) появляются различные органные изменения. Часто поражаются крупные суставы (периартриты, артриты, бурситы), мышцы (миозиты), нервная периферическая система (моно- и полиневриты, радикулиты, плекситы), половая система (</w:t>
      </w:r>
      <w:proofErr w:type="spellStart"/>
      <w:r w:rsidRPr="00140673">
        <w:t>орхиты</w:t>
      </w:r>
      <w:proofErr w:type="spellEnd"/>
      <w:r w:rsidRPr="00140673">
        <w:t xml:space="preserve">, оофориты, эндометриты, самопроизвольные аборты). Течение хронических форм бруцеллеза длительное, обострения сменяются ремиссиями. У некоторых больных и после санации организма от </w:t>
      </w:r>
      <w:proofErr w:type="spellStart"/>
      <w:r w:rsidRPr="00140673">
        <w:t>бруцелл</w:t>
      </w:r>
      <w:proofErr w:type="spellEnd"/>
      <w:r w:rsidRPr="00140673">
        <w:t xml:space="preserve"> могут быть стойкие остаточные явления (</w:t>
      </w:r>
      <w:proofErr w:type="spellStart"/>
      <w:r w:rsidRPr="00140673">
        <w:t>резидуальный</w:t>
      </w:r>
      <w:proofErr w:type="spellEnd"/>
      <w:r w:rsidRPr="00140673">
        <w:t xml:space="preserve"> бруцеллез).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При диагностике учитывают эпидемиологические предпосылки и характерные клинические проявления. Дифференцировать необходимо от сепсиса, малярии, туберкулеза, </w:t>
      </w:r>
      <w:proofErr w:type="spellStart"/>
      <w:r w:rsidRPr="00140673">
        <w:t>ревматоидного</w:t>
      </w:r>
      <w:proofErr w:type="spellEnd"/>
      <w:r w:rsidRPr="00140673">
        <w:t xml:space="preserve"> артрита. Из специфических методов используют реакции Райта, </w:t>
      </w:r>
      <w:proofErr w:type="spellStart"/>
      <w:r w:rsidRPr="00140673">
        <w:t>Хеддлсона</w:t>
      </w:r>
      <w:proofErr w:type="spellEnd"/>
      <w:r w:rsidRPr="00140673">
        <w:t xml:space="preserve">, внутрикожную аллергическую пробу с </w:t>
      </w:r>
      <w:proofErr w:type="spellStart"/>
      <w:r w:rsidRPr="00140673">
        <w:t>бруцеллином</w:t>
      </w:r>
      <w:proofErr w:type="spellEnd"/>
      <w:r w:rsidRPr="00140673">
        <w:t xml:space="preserve"> (проба </w:t>
      </w:r>
      <w:proofErr w:type="spellStart"/>
      <w:r w:rsidRPr="00140673">
        <w:t>Бюрне</w:t>
      </w:r>
      <w:proofErr w:type="spellEnd"/>
      <w:r w:rsidRPr="00140673">
        <w:t xml:space="preserve">).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 хозяйствах, где имеется бруцеллёз сельскохозяйственных животных, не следует допускать употребления мяса или молочных продуктов, сырого молока, сливок. Лица, ухаживающие за бруцеллёзными животными, должны строго соблюдать правила личной профилактики.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При остросептической форме основной является </w:t>
      </w:r>
      <w:proofErr w:type="spellStart"/>
      <w:r w:rsidRPr="00140673">
        <w:t>этиотропная</w:t>
      </w:r>
      <w:proofErr w:type="spellEnd"/>
      <w:r w:rsidRPr="00140673">
        <w:t xml:space="preserve"> терапия, которая продолжается до 3-4 </w:t>
      </w:r>
      <w:proofErr w:type="spellStart"/>
      <w:r w:rsidRPr="00140673">
        <w:t>нед</w:t>
      </w:r>
      <w:proofErr w:type="spellEnd"/>
      <w:r w:rsidRPr="00140673">
        <w:t xml:space="preserve">. Назначают антибиотики тетрациклиновой группы, стрептомицин, </w:t>
      </w:r>
      <w:proofErr w:type="spellStart"/>
      <w:r w:rsidRPr="00140673">
        <w:t>левомицетин</w:t>
      </w:r>
      <w:proofErr w:type="spellEnd"/>
      <w:r w:rsidRPr="00140673">
        <w:t xml:space="preserve">, </w:t>
      </w:r>
      <w:proofErr w:type="spellStart"/>
      <w:r w:rsidRPr="00140673">
        <w:t>рифампицин</w:t>
      </w:r>
      <w:proofErr w:type="spellEnd"/>
      <w:r w:rsidRPr="00140673">
        <w:t xml:space="preserve">. При хронических формах проводят комплекс общеукрепляющих терапевтических мероприятий в сочетании с вакцинотерапией. Санаторно-курортное лечение возможно не ранее 6 </w:t>
      </w:r>
      <w:proofErr w:type="spellStart"/>
      <w:r w:rsidRPr="00140673">
        <w:t>мес</w:t>
      </w:r>
      <w:proofErr w:type="spellEnd"/>
      <w:r w:rsidRPr="00140673">
        <w:t xml:space="preserve"> после исчезновения клинических симптомов бруцеллеза. Прогноз для жизни благоприятный, однако болезнь часто приводит к частичной потере трудоспособности.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Борьба с бруцеллезом сельскохозяйственных животных. Противобруцеллезная вакцинация лиц из группы риска. </w:t>
      </w:r>
    </w:p>
    <w:bookmarkEnd w:id="2"/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Впервые бруцеллез, как самостоятельная болезнь, был описан под названием мальтийская лихорадка в 1863 году на острове Мальта. В 1887 году Брюс выделил на этом острове от одного умершего от мальтийской лихорадки возбудителя и назвал его </w:t>
      </w:r>
      <w:proofErr w:type="spellStart"/>
      <w:r w:rsidRPr="00140673">
        <w:t>микрококкус</w:t>
      </w:r>
      <w:proofErr w:type="spellEnd"/>
      <w:r w:rsidRPr="00140673">
        <w:t xml:space="preserve"> </w:t>
      </w:r>
      <w:proofErr w:type="spellStart"/>
      <w:r w:rsidRPr="00140673">
        <w:t>мелитензис</w:t>
      </w:r>
      <w:proofErr w:type="spellEnd"/>
      <w:r w:rsidRPr="00140673">
        <w:t xml:space="preserve">. На острове Мальта ученый </w:t>
      </w:r>
      <w:proofErr w:type="spellStart"/>
      <w:r w:rsidRPr="00140673">
        <w:t>Заммит</w:t>
      </w:r>
      <w:proofErr w:type="spellEnd"/>
      <w:r w:rsidRPr="00140673">
        <w:t xml:space="preserve"> в 1905 году установил, что переносчиками и выделителями заразы мальтийской лихорадки в окружающей среде являются козы.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 1897 году в Дании </w:t>
      </w:r>
      <w:proofErr w:type="spellStart"/>
      <w:r w:rsidRPr="00140673">
        <w:t>Банг</w:t>
      </w:r>
      <w:proofErr w:type="spellEnd"/>
      <w:r w:rsidRPr="00140673">
        <w:t xml:space="preserve"> и </w:t>
      </w:r>
      <w:proofErr w:type="spellStart"/>
      <w:r w:rsidRPr="00140673">
        <w:t>Стрибольт</w:t>
      </w:r>
      <w:proofErr w:type="spellEnd"/>
      <w:r w:rsidRPr="00140673">
        <w:t xml:space="preserve"> открыли возбудителя "заразного выкидыша" (инфекционного аборта) у крупного рогатого скота, который был ими назван палочкой </w:t>
      </w:r>
      <w:proofErr w:type="spellStart"/>
      <w:r w:rsidRPr="00140673">
        <w:t>Банга</w:t>
      </w:r>
      <w:proofErr w:type="spellEnd"/>
      <w:r w:rsidRPr="00140673">
        <w:t xml:space="preserve">, а позднее назван </w:t>
      </w:r>
      <w:proofErr w:type="spellStart"/>
      <w:r w:rsidRPr="00140673">
        <w:t>Bac</w:t>
      </w:r>
      <w:proofErr w:type="spellEnd"/>
      <w:r w:rsidRPr="00140673">
        <w:t xml:space="preserve">. </w:t>
      </w:r>
      <w:proofErr w:type="spellStart"/>
      <w:r w:rsidRPr="00140673">
        <w:t>abortus</w:t>
      </w:r>
      <w:proofErr w:type="spellEnd"/>
      <w:r w:rsidRPr="00140673">
        <w:t xml:space="preserve"> </w:t>
      </w:r>
      <w:proofErr w:type="spellStart"/>
      <w:r w:rsidRPr="00140673">
        <w:t>bovis</w:t>
      </w:r>
      <w:proofErr w:type="spellEnd"/>
      <w:r w:rsidRPr="00140673">
        <w:t xml:space="preserve">. В 1914 году </w:t>
      </w:r>
      <w:proofErr w:type="spellStart"/>
      <w:r w:rsidRPr="00140673">
        <w:t>Траум</w:t>
      </w:r>
      <w:proofErr w:type="spellEnd"/>
      <w:r w:rsidRPr="00140673">
        <w:t xml:space="preserve"> выделил микроорганизм из плода свиней, получившего название </w:t>
      </w: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abortus</w:t>
      </w:r>
      <w:proofErr w:type="spellEnd"/>
      <w:r w:rsidRPr="00140673">
        <w:t xml:space="preserve"> </w:t>
      </w:r>
      <w:proofErr w:type="spellStart"/>
      <w:r w:rsidRPr="00140673">
        <w:t>suis</w:t>
      </w:r>
      <w:proofErr w:type="spellEnd"/>
      <w:r w:rsidRPr="00140673">
        <w:t xml:space="preserve">. И только спустя 18-20 лет после открытия, названных возбудителей болезней ("выкидыши" и "мальтийской лихорадки"), американский исследователь Алиса </w:t>
      </w:r>
      <w:proofErr w:type="spellStart"/>
      <w:r w:rsidRPr="00140673">
        <w:t>Иванс</w:t>
      </w:r>
      <w:proofErr w:type="spellEnd"/>
      <w:r w:rsidRPr="00140673">
        <w:t xml:space="preserve"> (1918), изучая возбудителей этих болезней, обнаружила у них большое сходство в морфологии и </w:t>
      </w:r>
      <w:proofErr w:type="spellStart"/>
      <w:r w:rsidRPr="00140673">
        <w:t>культуральных</w:t>
      </w:r>
      <w:proofErr w:type="spellEnd"/>
      <w:r w:rsidRPr="00140673">
        <w:t xml:space="preserve"> свойствах, что явилось основанием для объединения их в одну группу под названием </w:t>
      </w:r>
      <w:proofErr w:type="spellStart"/>
      <w:r w:rsidRPr="00140673">
        <w:t>Brucella</w:t>
      </w:r>
      <w:proofErr w:type="spellEnd"/>
      <w:r w:rsidRPr="00140673">
        <w:t xml:space="preserve"> по имени открывшего их первого исследователя.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До настоящего времени наиболее широкое распространение бруцеллез животных имеет в странах Средиземноморского бассейна, Малой Азии (Турция, Иран), Юга и Юго-Восточной Азии (Индия, Лаос), Африке, Центральной и Южной Америки (Мексика, Бразилия, Чили, </w:t>
      </w:r>
      <w:r w:rsidRPr="00140673">
        <w:lastRenderedPageBreak/>
        <w:t xml:space="preserve">Парагвай, Гватемала, Колумбия). Успешно проводится борьба с бруцеллезом в Болгарии, Югославии, где регистрируются редкие случаи болезни в отдельных </w:t>
      </w:r>
      <w:proofErr w:type="spellStart"/>
      <w:r w:rsidRPr="00140673">
        <w:t>регионах.Вместе</w:t>
      </w:r>
      <w:proofErr w:type="spellEnd"/>
      <w:r w:rsidRPr="00140673">
        <w:t xml:space="preserve"> с тем ряд стран, особенно в Европе (Англия, Дания, Германия, Финляндия, Швеция, Норвегия, Швейцария, Чехословакия, Румыния), а также Япония добились практически полной ликвидации этой болезни среди сельскохозяйственных животных.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По данным Объединенного комитета экспертов Всемирной организации здравоохранения по бруцеллезу (1986), эта болезнь среди животных распространена практически во всем мире (в 155 странах), в том числе в таких развитых капиталистических странах, как США, Франция, Канада, Австралия, Италия, Испания. В докладе отмечается, что в большинстве развивающихся стран нет достаточных ресурсов для обеспечения </w:t>
      </w:r>
      <w:proofErr w:type="spellStart"/>
      <w:r w:rsidRPr="00140673">
        <w:t>надлежайшего</w:t>
      </w:r>
      <w:proofErr w:type="spellEnd"/>
      <w:r w:rsidRPr="00140673">
        <w:t xml:space="preserve"> контроля за эпизоотической обстановкой, поэтому информация о степени поражения стад бруцеллезом в таких государствах, особенно в тропиках, является далеко не полной.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 дореволюционной России случаи "повального выкидыша" насчитывались сотнями, что объясняется плохим учетом этого явления, но первые научные сообщения, которые появились в 1912-1913 гг., свидетельствуют о широком распространении болезни в северных губерниях России (например, бывшая Новгородская губерния).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 настоящее время в России бруцеллез регистрируют практически у всех видов сельскохозяйственных и домашних животных, которые поражаются возбудителем бруцеллеза видов B. </w:t>
      </w:r>
      <w:proofErr w:type="spellStart"/>
      <w:r w:rsidRPr="00140673">
        <w:t>abortus</w:t>
      </w:r>
      <w:proofErr w:type="spellEnd"/>
      <w:r w:rsidRPr="00140673">
        <w:t xml:space="preserve">, B. </w:t>
      </w:r>
      <w:proofErr w:type="spellStart"/>
      <w:r w:rsidRPr="00140673">
        <w:t>melitensis</w:t>
      </w:r>
      <w:proofErr w:type="spellEnd"/>
      <w:r w:rsidRPr="00140673">
        <w:t xml:space="preserve">, B. </w:t>
      </w:r>
      <w:proofErr w:type="spellStart"/>
      <w:r w:rsidRPr="00140673">
        <w:t>suis</w:t>
      </w:r>
      <w:proofErr w:type="spellEnd"/>
      <w:r w:rsidRPr="00140673">
        <w:t xml:space="preserve">, B. </w:t>
      </w:r>
      <w:proofErr w:type="spellStart"/>
      <w:r w:rsidRPr="00140673">
        <w:t>ovis</w:t>
      </w:r>
      <w:proofErr w:type="spellEnd"/>
      <w:r w:rsidRPr="00140673">
        <w:t xml:space="preserve">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Наиболее важное эпизоотологическое и экономическое значение в нашей стране имеет бруцеллез крупного рогатого скота, северных оленей и свиней. В эпидемиологическом отношении наиболее опасен бруцеллез овец и коз, с которым связано возникновение 91-100% свежих случаев заболевания людей бруцеллезом.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Эпизоотологическая обстановка по бруцеллезу остается весьма напряженной в Казахстане, особенно в северных и центральных областях, где сосредоточено 75% неблагополучных пунктов и выделяется 90% больных животных от общего количества в республике. Остается острой проблема ликвидации бруцеллеза в Закавказье, Средней Азии, в зоне Северного Кавказа, Южного Поволжья </w:t>
      </w:r>
    </w:p>
    <w:p w:rsidR="00140673" w:rsidRPr="00140673" w:rsidRDefault="00140673" w:rsidP="00FC0619">
      <w:pPr>
        <w:pStyle w:val="a3"/>
        <w:ind w:firstLine="709"/>
        <w:jc w:val="both"/>
        <w:rPr>
          <w:b/>
          <w:bCs/>
        </w:rPr>
      </w:pPr>
      <w:r w:rsidRPr="00140673">
        <w:rPr>
          <w:b/>
          <w:bCs/>
        </w:rPr>
        <w:t xml:space="preserve">Таблица 1 </w:t>
      </w:r>
    </w:p>
    <w:p w:rsidR="00140673" w:rsidRPr="00140673" w:rsidRDefault="00140673" w:rsidP="00FC0619">
      <w:pPr>
        <w:pStyle w:val="a3"/>
        <w:ind w:firstLine="709"/>
        <w:jc w:val="both"/>
        <w:rPr>
          <w:b/>
          <w:bCs/>
        </w:rPr>
      </w:pPr>
      <w:r w:rsidRPr="00140673">
        <w:rPr>
          <w:b/>
          <w:bCs/>
        </w:rPr>
        <w:t xml:space="preserve">Распространение бруцеллеза крупного рогатого скота в СНГ и Российской Федерации </w:t>
      </w:r>
    </w:p>
    <w:tbl>
      <w:tblPr>
        <w:tblW w:w="8850" w:type="dxa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51"/>
        <w:gridCol w:w="2463"/>
        <w:gridCol w:w="1851"/>
        <w:gridCol w:w="1939"/>
        <w:gridCol w:w="1946"/>
      </w:tblGrid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Год </w:t>
            </w:r>
          </w:p>
        </w:tc>
        <w:tc>
          <w:tcPr>
            <w:tcW w:w="14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Кол-во неблагополучных пунктов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Оздоровлено </w:t>
            </w:r>
            <w:proofErr w:type="spellStart"/>
            <w:r w:rsidRPr="00140673">
              <w:t>нб</w:t>
            </w:r>
            <w:proofErr w:type="spellEnd"/>
            <w:r w:rsidRPr="00140673">
              <w:t xml:space="preserve">/пунктов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Осталось </w:t>
            </w:r>
            <w:proofErr w:type="spellStart"/>
            <w:r w:rsidRPr="00140673">
              <w:t>нб</w:t>
            </w:r>
            <w:proofErr w:type="spellEnd"/>
            <w:r w:rsidRPr="00140673">
              <w:t xml:space="preserve">/пун.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Кол-во больных </w:t>
            </w:r>
            <w:proofErr w:type="spellStart"/>
            <w:r w:rsidRPr="00140673">
              <w:t>жив-х</w:t>
            </w:r>
            <w:proofErr w:type="spellEnd"/>
            <w:r w:rsidRPr="00140673">
              <w:t xml:space="preserve">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1980 </w:t>
            </w:r>
          </w:p>
        </w:tc>
        <w:tc>
          <w:tcPr>
            <w:tcW w:w="14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1610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302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1502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193500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1982 </w:t>
            </w:r>
          </w:p>
        </w:tc>
        <w:tc>
          <w:tcPr>
            <w:tcW w:w="14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446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3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443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85345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1985 </w:t>
            </w:r>
          </w:p>
        </w:tc>
        <w:tc>
          <w:tcPr>
            <w:tcW w:w="14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1298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296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1425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119735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1993 </w:t>
            </w:r>
          </w:p>
        </w:tc>
        <w:tc>
          <w:tcPr>
            <w:tcW w:w="14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582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147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441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27604 </w:t>
            </w:r>
          </w:p>
        </w:tc>
      </w:tr>
    </w:tbl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Во всех областях Сибири (кроме Тувы) практически ликвидирован бруцеллез мелкого рогатого скота. Успешно проводятся мероприятия по оздоровлению крупного рогатого скота. </w:t>
      </w:r>
      <w:r w:rsidRPr="00140673">
        <w:lastRenderedPageBreak/>
        <w:t xml:space="preserve">Но в ряде областей Западной Сибири (Омская, Новосибирская, Тюменская) он все еще имеет значительное распространение и причиняет большой экономический ущерб отрасти.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Таблица 2 </w:t>
      </w:r>
    </w:p>
    <w:p w:rsidR="00140673" w:rsidRPr="00140673" w:rsidRDefault="00140673" w:rsidP="00FC0619">
      <w:pPr>
        <w:pStyle w:val="a3"/>
        <w:ind w:firstLine="709"/>
        <w:jc w:val="both"/>
        <w:rPr>
          <w:b/>
          <w:bCs/>
        </w:rPr>
      </w:pPr>
      <w:r w:rsidRPr="00140673">
        <w:rPr>
          <w:b/>
          <w:bCs/>
        </w:rPr>
        <w:t xml:space="preserve">Распространение бруцеллеза крупного рогатого скота в Омской области </w:t>
      </w:r>
    </w:p>
    <w:tbl>
      <w:tblPr>
        <w:tblW w:w="9525" w:type="dxa"/>
        <w:jc w:val="center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2107"/>
        <w:gridCol w:w="1990"/>
        <w:gridCol w:w="1895"/>
        <w:gridCol w:w="1613"/>
        <w:gridCol w:w="1243"/>
      </w:tblGrid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rPr>
                <w:b/>
                <w:bCs/>
              </w:rPr>
              <w:t xml:space="preserve">Год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rPr>
                <w:b/>
                <w:bCs/>
              </w:rPr>
              <w:t xml:space="preserve">Кол-во неблагополучных пунктов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rPr>
                <w:b/>
                <w:bCs/>
              </w:rPr>
              <w:t xml:space="preserve">Выявлено новых пунктов </w:t>
            </w:r>
          </w:p>
        </w:tc>
        <w:tc>
          <w:tcPr>
            <w:tcW w:w="10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rPr>
                <w:b/>
                <w:bCs/>
              </w:rPr>
              <w:t xml:space="preserve">Оздоровлено </w:t>
            </w:r>
            <w:proofErr w:type="spellStart"/>
            <w:r w:rsidRPr="00140673">
              <w:rPr>
                <w:b/>
                <w:bCs/>
              </w:rPr>
              <w:t>неблаг</w:t>
            </w:r>
            <w:proofErr w:type="spellEnd"/>
            <w:r w:rsidRPr="00140673">
              <w:rPr>
                <w:b/>
                <w:bCs/>
              </w:rPr>
              <w:t xml:space="preserve">. пунктов </w:t>
            </w:r>
          </w:p>
        </w:tc>
        <w:tc>
          <w:tcPr>
            <w:tcW w:w="8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rPr>
                <w:b/>
                <w:bCs/>
              </w:rPr>
              <w:t xml:space="preserve">Осталось </w:t>
            </w:r>
            <w:proofErr w:type="spellStart"/>
            <w:r w:rsidRPr="00140673">
              <w:rPr>
                <w:b/>
                <w:bCs/>
              </w:rPr>
              <w:t>неблаг</w:t>
            </w:r>
            <w:proofErr w:type="spellEnd"/>
            <w:r w:rsidRPr="00140673">
              <w:rPr>
                <w:b/>
                <w:bCs/>
              </w:rPr>
              <w:t xml:space="preserve">. пунктов </w:t>
            </w:r>
          </w:p>
        </w:tc>
        <w:tc>
          <w:tcPr>
            <w:tcW w:w="6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rPr>
                <w:b/>
                <w:bCs/>
              </w:rPr>
              <w:t xml:space="preserve">Кол-во боль </w:t>
            </w:r>
            <w:proofErr w:type="spellStart"/>
            <w:r w:rsidRPr="00140673">
              <w:rPr>
                <w:b/>
                <w:bCs/>
              </w:rPr>
              <w:t>ных</w:t>
            </w:r>
            <w:proofErr w:type="spellEnd"/>
            <w:r w:rsidRPr="00140673">
              <w:rPr>
                <w:b/>
                <w:bCs/>
              </w:rPr>
              <w:t xml:space="preserve"> </w:t>
            </w:r>
            <w:proofErr w:type="spellStart"/>
            <w:r w:rsidRPr="00140673">
              <w:rPr>
                <w:b/>
                <w:bCs/>
              </w:rPr>
              <w:t>жив-х</w:t>
            </w:r>
            <w:proofErr w:type="spellEnd"/>
            <w:r w:rsidRPr="00140673">
              <w:rPr>
                <w:b/>
                <w:bCs/>
              </w:rPr>
              <w:t xml:space="preserve">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1980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366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0 </w:t>
            </w:r>
          </w:p>
        </w:tc>
        <w:tc>
          <w:tcPr>
            <w:tcW w:w="10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51 </w:t>
            </w:r>
          </w:p>
        </w:tc>
        <w:tc>
          <w:tcPr>
            <w:tcW w:w="8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315 </w:t>
            </w:r>
          </w:p>
        </w:tc>
        <w:tc>
          <w:tcPr>
            <w:tcW w:w="6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28618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1985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201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86 </w:t>
            </w:r>
          </w:p>
        </w:tc>
        <w:tc>
          <w:tcPr>
            <w:tcW w:w="10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25 </w:t>
            </w:r>
          </w:p>
        </w:tc>
        <w:tc>
          <w:tcPr>
            <w:tcW w:w="8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262 </w:t>
            </w:r>
          </w:p>
        </w:tc>
        <w:tc>
          <w:tcPr>
            <w:tcW w:w="6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16535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1992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17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0 </w:t>
            </w:r>
          </w:p>
        </w:tc>
        <w:tc>
          <w:tcPr>
            <w:tcW w:w="10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6 </w:t>
            </w:r>
          </w:p>
        </w:tc>
        <w:tc>
          <w:tcPr>
            <w:tcW w:w="8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11 </w:t>
            </w:r>
          </w:p>
        </w:tc>
        <w:tc>
          <w:tcPr>
            <w:tcW w:w="6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171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1993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11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0 </w:t>
            </w:r>
          </w:p>
        </w:tc>
        <w:tc>
          <w:tcPr>
            <w:tcW w:w="10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  <w:tc>
          <w:tcPr>
            <w:tcW w:w="8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  <w:tc>
          <w:tcPr>
            <w:tcW w:w="6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</w:tr>
      <w:tr w:rsidR="00140673" w:rsidRPr="00140673">
        <w:trPr>
          <w:tblCellSpacing w:w="7" w:type="dxa"/>
          <w:jc w:val="center"/>
        </w:trPr>
        <w:tc>
          <w:tcPr>
            <w:tcW w:w="3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  <w:tc>
          <w:tcPr>
            <w:tcW w:w="11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  <w:tc>
          <w:tcPr>
            <w:tcW w:w="10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  <w:tc>
          <w:tcPr>
            <w:tcW w:w="100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  <w:tc>
          <w:tcPr>
            <w:tcW w:w="8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  <w:tc>
          <w:tcPr>
            <w:tcW w:w="650" w:type="pct"/>
          </w:tcPr>
          <w:p w:rsidR="00140673" w:rsidRPr="00140673" w:rsidRDefault="00140673" w:rsidP="00FC0619">
            <w:pPr>
              <w:pStyle w:val="a3"/>
              <w:jc w:val="both"/>
            </w:pPr>
            <w:r w:rsidRPr="00140673">
              <w:t xml:space="preserve">  </w:t>
            </w:r>
          </w:p>
        </w:tc>
      </w:tr>
    </w:tbl>
    <w:p w:rsidR="00140673" w:rsidRPr="00140673" w:rsidRDefault="00140673" w:rsidP="00FC0619">
      <w:pPr>
        <w:pStyle w:val="a3"/>
        <w:ind w:firstLine="709"/>
        <w:jc w:val="both"/>
      </w:pPr>
      <w:bookmarkStart w:id="3" w:name="_Toc346594302"/>
      <w:r w:rsidRPr="00140673">
        <w:t xml:space="preserve">Согласно "Краткому определителю бактерий" Берги (1980), возбудители бруцеллеза относятся к родам с неясным систематическим положением под общим таксономическим названием </w:t>
      </w:r>
      <w:proofErr w:type="spellStart"/>
      <w:r w:rsidRPr="00140673">
        <w:t>Brucella</w:t>
      </w:r>
      <w:proofErr w:type="spellEnd"/>
      <w:r w:rsidRPr="00140673">
        <w:t xml:space="preserve">. Общим для всех видов и </w:t>
      </w:r>
      <w:proofErr w:type="spellStart"/>
      <w:r w:rsidRPr="00140673">
        <w:t>биоваров</w:t>
      </w:r>
      <w:proofErr w:type="spellEnd"/>
      <w:r w:rsidRPr="00140673">
        <w:t xml:space="preserve"> этого рода является содержание гуанина + </w:t>
      </w:r>
      <w:proofErr w:type="spellStart"/>
      <w:r w:rsidRPr="00140673">
        <w:t>цитозина</w:t>
      </w:r>
      <w:proofErr w:type="spellEnd"/>
      <w:r w:rsidRPr="00140673">
        <w:t xml:space="preserve"> (Г+Ц) в ДНК от 56 до 58 </w:t>
      </w:r>
      <w:proofErr w:type="spellStart"/>
      <w:r w:rsidRPr="00140673">
        <w:t>мол.%</w:t>
      </w:r>
      <w:proofErr w:type="spellEnd"/>
      <w:r w:rsidRPr="00140673">
        <w:t xml:space="preserve">. 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Виды </w:t>
      </w:r>
      <w:proofErr w:type="spellStart"/>
      <w:r w:rsidRPr="00140673">
        <w:t>бруцелл</w:t>
      </w:r>
      <w:proofErr w:type="spellEnd"/>
      <w:r w:rsidRPr="00140673">
        <w:t xml:space="preserve">: </w:t>
      </w:r>
    </w:p>
    <w:p w:rsidR="00140673" w:rsidRPr="00140673" w:rsidRDefault="00140673" w:rsidP="00FC061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abortus</w:t>
      </w:r>
      <w:proofErr w:type="spellEnd"/>
      <w:r w:rsidRPr="00140673">
        <w:t xml:space="preserve">; </w:t>
      </w:r>
    </w:p>
    <w:p w:rsidR="00140673" w:rsidRPr="00140673" w:rsidRDefault="00140673" w:rsidP="00FC061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melitensis</w:t>
      </w:r>
      <w:proofErr w:type="spellEnd"/>
      <w:r w:rsidRPr="00140673">
        <w:t xml:space="preserve">; </w:t>
      </w:r>
    </w:p>
    <w:p w:rsidR="00140673" w:rsidRPr="00140673" w:rsidRDefault="00140673" w:rsidP="00FC061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suis</w:t>
      </w:r>
      <w:proofErr w:type="spellEnd"/>
      <w:r w:rsidRPr="00140673">
        <w:t xml:space="preserve">; </w:t>
      </w:r>
    </w:p>
    <w:p w:rsidR="00140673" w:rsidRPr="00140673" w:rsidRDefault="00140673" w:rsidP="00FC061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neotomae</w:t>
      </w:r>
      <w:proofErr w:type="spellEnd"/>
      <w:r w:rsidRPr="00140673">
        <w:t xml:space="preserve"> (крысы); </w:t>
      </w:r>
    </w:p>
    <w:p w:rsidR="00140673" w:rsidRPr="00140673" w:rsidRDefault="00140673" w:rsidP="00FC061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ovis</w:t>
      </w:r>
      <w:proofErr w:type="spellEnd"/>
      <w:r w:rsidRPr="00140673">
        <w:t xml:space="preserve">; </w:t>
      </w:r>
    </w:p>
    <w:p w:rsidR="00140673" w:rsidRPr="00140673" w:rsidRDefault="00140673" w:rsidP="00FC0619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canis</w:t>
      </w:r>
      <w:proofErr w:type="spellEnd"/>
      <w:r w:rsidRPr="00140673">
        <w:t xml:space="preserve">. 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В нашей стране хорошо зарекомендовали себя </w:t>
      </w:r>
      <w:proofErr w:type="spellStart"/>
      <w:r w:rsidRPr="00140673">
        <w:t>мясо-пептонно-печеночный</w:t>
      </w:r>
      <w:proofErr w:type="spellEnd"/>
      <w:r w:rsidRPr="00140673">
        <w:t xml:space="preserve"> </w:t>
      </w:r>
      <w:proofErr w:type="spellStart"/>
      <w:r w:rsidRPr="00140673">
        <w:t>агар</w:t>
      </w:r>
      <w:proofErr w:type="spellEnd"/>
      <w:r w:rsidRPr="00140673">
        <w:t xml:space="preserve"> (МППА) или бульон (МППБ) с добавлением глюкозы (1%) и глицерина (2-3%). Оптимальными условиями для роста </w:t>
      </w:r>
      <w:proofErr w:type="spellStart"/>
      <w:r w:rsidRPr="00140673">
        <w:t>бруцелл</w:t>
      </w:r>
      <w:proofErr w:type="spellEnd"/>
      <w:r w:rsidRPr="00140673">
        <w:t xml:space="preserve"> являются температура 37° С, рН 6,6-7,2. </w:t>
      </w:r>
      <w:proofErr w:type="spellStart"/>
      <w:r w:rsidRPr="00140673">
        <w:t>Бруцеллы</w:t>
      </w:r>
      <w:proofErr w:type="spellEnd"/>
      <w:r w:rsidRPr="00140673">
        <w:t xml:space="preserve">, особенно в первой генерации, растут медленно - 7-14 суток и более, поэтому среды выдерживают в термостате в течение 3х недель. Лабораторные культуры развиваются быстрее (18-30 часов). 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Наблюдать изменение количества разных типов </w:t>
      </w:r>
      <w:proofErr w:type="spellStart"/>
      <w:r w:rsidRPr="00140673">
        <w:t>бруцелл</w:t>
      </w:r>
      <w:proofErr w:type="spellEnd"/>
      <w:r w:rsidRPr="00140673">
        <w:t xml:space="preserve"> можно по росту первых генераций в аэробных условиях. Например, </w:t>
      </w: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abortus</w:t>
      </w:r>
      <w:proofErr w:type="spellEnd"/>
      <w:r w:rsidRPr="00140673">
        <w:t xml:space="preserve"> </w:t>
      </w:r>
      <w:proofErr w:type="spellStart"/>
      <w:r w:rsidRPr="00140673">
        <w:t>bovis</w:t>
      </w:r>
      <w:proofErr w:type="spellEnd"/>
      <w:r w:rsidRPr="00140673">
        <w:t xml:space="preserve"> лучше растет в условиях пониженного содержания кислорода и повышенного уровня углекислоты. </w:t>
      </w: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melitensis</w:t>
      </w:r>
      <w:proofErr w:type="spellEnd"/>
      <w:r w:rsidRPr="00140673">
        <w:t xml:space="preserve"> и </w:t>
      </w: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suis</w:t>
      </w:r>
      <w:proofErr w:type="spellEnd"/>
      <w:r w:rsidRPr="00140673">
        <w:t xml:space="preserve"> могут расти в обычных аэробных условиях. Большое количество сероводорода в течение 3-4 суток образуют </w:t>
      </w:r>
      <w:proofErr w:type="spellStart"/>
      <w:r w:rsidRPr="00140673">
        <w:t>бруцеллы</w:t>
      </w:r>
      <w:proofErr w:type="spellEnd"/>
      <w:r w:rsidRPr="00140673">
        <w:t xml:space="preserve"> вида </w:t>
      </w:r>
      <w:proofErr w:type="spellStart"/>
      <w:r w:rsidRPr="00140673">
        <w:t>suis</w:t>
      </w:r>
      <w:proofErr w:type="spellEnd"/>
      <w:r w:rsidRPr="00140673">
        <w:t xml:space="preserve">, вид </w:t>
      </w:r>
      <w:proofErr w:type="spellStart"/>
      <w:r w:rsidRPr="00140673">
        <w:t>abortus</w:t>
      </w:r>
      <w:proofErr w:type="spellEnd"/>
      <w:r w:rsidRPr="00140673">
        <w:t xml:space="preserve"> </w:t>
      </w:r>
      <w:proofErr w:type="spellStart"/>
      <w:r w:rsidRPr="00140673">
        <w:t>bovis</w:t>
      </w:r>
      <w:proofErr w:type="spellEnd"/>
      <w:r w:rsidRPr="00140673">
        <w:t xml:space="preserve"> выделяет этот газ только в течение первых двух суток, </w:t>
      </w:r>
      <w:proofErr w:type="spellStart"/>
      <w:r w:rsidRPr="00140673">
        <w:t>бруцеллы</w:t>
      </w:r>
      <w:proofErr w:type="spellEnd"/>
      <w:r w:rsidRPr="00140673">
        <w:t xml:space="preserve"> </w:t>
      </w:r>
      <w:proofErr w:type="spellStart"/>
      <w:r w:rsidRPr="00140673">
        <w:t>melitensis</w:t>
      </w:r>
      <w:proofErr w:type="spellEnd"/>
      <w:r w:rsidRPr="00140673">
        <w:t xml:space="preserve"> сероводорода почти не образуют. </w:t>
      </w:r>
      <w:proofErr w:type="spellStart"/>
      <w:r w:rsidRPr="00140673">
        <w:t>Бруцеллы</w:t>
      </w:r>
      <w:proofErr w:type="spellEnd"/>
      <w:r w:rsidRPr="00140673">
        <w:t xml:space="preserve"> вида </w:t>
      </w:r>
      <w:proofErr w:type="spellStart"/>
      <w:r w:rsidRPr="00140673">
        <w:t>melitensis</w:t>
      </w:r>
      <w:proofErr w:type="spellEnd"/>
      <w:r w:rsidRPr="00140673">
        <w:t xml:space="preserve"> способны восстанавливать (редуцировать) фуксин, </w:t>
      </w:r>
      <w:proofErr w:type="spellStart"/>
      <w:r w:rsidRPr="00140673">
        <w:t>тионин</w:t>
      </w:r>
      <w:proofErr w:type="spellEnd"/>
      <w:r w:rsidRPr="00140673">
        <w:t xml:space="preserve">, </w:t>
      </w:r>
      <w:proofErr w:type="spellStart"/>
      <w:r w:rsidRPr="00140673">
        <w:t>пиронин</w:t>
      </w:r>
      <w:proofErr w:type="spellEnd"/>
      <w:r w:rsidRPr="00140673">
        <w:t xml:space="preserve">, и поэтому хорошо растут на средах с этими красками. </w:t>
      </w:r>
      <w:proofErr w:type="spellStart"/>
      <w:r w:rsidRPr="00140673">
        <w:t>Бруцеллы</w:t>
      </w:r>
      <w:proofErr w:type="spellEnd"/>
      <w:r w:rsidRPr="00140673">
        <w:t xml:space="preserve"> вида </w:t>
      </w:r>
      <w:proofErr w:type="spellStart"/>
      <w:r w:rsidRPr="00140673">
        <w:t>abortus</w:t>
      </w:r>
      <w:proofErr w:type="spellEnd"/>
      <w:r w:rsidRPr="00140673">
        <w:t xml:space="preserve"> </w:t>
      </w:r>
      <w:proofErr w:type="spellStart"/>
      <w:r w:rsidRPr="00140673">
        <w:t>bovis</w:t>
      </w:r>
      <w:proofErr w:type="spellEnd"/>
      <w:r w:rsidRPr="00140673">
        <w:t xml:space="preserve"> редуцируют фуксин и </w:t>
      </w:r>
      <w:proofErr w:type="spellStart"/>
      <w:r w:rsidRPr="00140673">
        <w:t>пиронин</w:t>
      </w:r>
      <w:proofErr w:type="spellEnd"/>
      <w:r w:rsidRPr="00140673">
        <w:t xml:space="preserve">, а </w:t>
      </w:r>
      <w:proofErr w:type="spellStart"/>
      <w:r w:rsidRPr="00140673">
        <w:t>бруцеллы</w:t>
      </w:r>
      <w:proofErr w:type="spellEnd"/>
      <w:r w:rsidRPr="00140673">
        <w:t xml:space="preserve"> вида </w:t>
      </w:r>
      <w:proofErr w:type="spellStart"/>
      <w:r w:rsidRPr="00140673">
        <w:t>suis</w:t>
      </w:r>
      <w:proofErr w:type="spellEnd"/>
      <w:r w:rsidRPr="00140673">
        <w:t xml:space="preserve"> -редуцируют только </w:t>
      </w:r>
      <w:proofErr w:type="spellStart"/>
      <w:r w:rsidRPr="00140673">
        <w:t>тионин</w:t>
      </w:r>
      <w:proofErr w:type="spellEnd"/>
      <w:r w:rsidRPr="00140673">
        <w:t xml:space="preserve">. На этом бактериостатическом действии красок основан классический метод дифференциации видов </w:t>
      </w:r>
      <w:proofErr w:type="spellStart"/>
      <w:r w:rsidRPr="00140673">
        <w:t>бруцелл</w:t>
      </w:r>
      <w:proofErr w:type="spellEnd"/>
      <w:r w:rsidRPr="00140673">
        <w:t xml:space="preserve">. 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Бактерии бруцеллеза относятся к </w:t>
      </w:r>
      <w:proofErr w:type="spellStart"/>
      <w:r w:rsidRPr="00140673">
        <w:t>биохимически</w:t>
      </w:r>
      <w:proofErr w:type="spellEnd"/>
      <w:r w:rsidRPr="00140673">
        <w:t xml:space="preserve"> слабоактивным микроорганизмам. Они не образуют протеолитических ферментов и обладают слабой </w:t>
      </w:r>
      <w:proofErr w:type="spellStart"/>
      <w:r w:rsidRPr="00140673">
        <w:t>сахаролитической</w:t>
      </w:r>
      <w:proofErr w:type="spellEnd"/>
      <w:r w:rsidRPr="00140673">
        <w:t xml:space="preserve"> способностью, </w:t>
      </w:r>
      <w:r w:rsidRPr="00140673">
        <w:lastRenderedPageBreak/>
        <w:t xml:space="preserve">поэтому не разжижают желатина и не свертывают молоко, но иногда расщепляют ксилозу, левулезу, декстрозу, галактозу и </w:t>
      </w:r>
      <w:proofErr w:type="spellStart"/>
      <w:r w:rsidRPr="00140673">
        <w:t>сбраживают</w:t>
      </w:r>
      <w:proofErr w:type="spellEnd"/>
      <w:r w:rsidRPr="00140673">
        <w:t xml:space="preserve"> арабинозу. Вызывают гидролиз аминокислот, белков и пептонов с образованием аммиака и сероводорода.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>На твердых питательных средах вырастают мелкие, куполообразные колонии гладкого (S-) типа, величиной 2-</w:t>
      </w:r>
      <w:smartTag w:uri="urn:schemas-microsoft-com:office:smarttags" w:element="metricconverter">
        <w:smartTagPr>
          <w:attr w:name="ProductID" w:val="3 мм"/>
        </w:smartTagPr>
        <w:r w:rsidRPr="00140673">
          <w:t>3 мм</w:t>
        </w:r>
      </w:smartTag>
      <w:r w:rsidRPr="00140673">
        <w:t xml:space="preserve">. На бульоне - вначале отмечают равномерное помутнение, а по мере старения культуры образуется пристеночное кольцо голубовато-серого цвета. При микроскопии под иммерсией </w:t>
      </w:r>
      <w:proofErr w:type="spellStart"/>
      <w:r w:rsidRPr="00140673">
        <w:t>бруцеллы</w:t>
      </w:r>
      <w:proofErr w:type="spellEnd"/>
      <w:r w:rsidRPr="00140673">
        <w:t xml:space="preserve"> представляют собой мелкие кокки размером 0,3-0,6 мкм или палочки 0,6-2,5 мкм с закругленными концами. Спор и капсул не образуют и не имеют жгутиков.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Появление бруцеллеза в хозяйстве в значительной степени тормозит воспроизводство стада в связи с абортами, рождением нежизнеспособного плода и яловостью зараженных животных. Ущерб, наносимый животноводству бруцеллезом, усугубляется необходимостью выполнения карантинно-ограничительных и ветеринарно-санитарных мероприятий (пастеризация молока, раздельное содержание отдельных групп животных, дезинфекция помещений, диагностические исследования животных и пр.). Выполнение этих мер затрудняет нормальную производственную деятельность хозяйств и требует затраты значительных средств.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По методу Козловского </w:t>
      </w:r>
      <w:proofErr w:type="spellStart"/>
      <w:r w:rsidRPr="00140673">
        <w:t>бруцеллы</w:t>
      </w:r>
      <w:proofErr w:type="spellEnd"/>
      <w:r w:rsidRPr="00140673">
        <w:t xml:space="preserve"> окрашиваются в ярко-красный цвет, по </w:t>
      </w:r>
      <w:proofErr w:type="spellStart"/>
      <w:r w:rsidRPr="00140673">
        <w:t>Граму</w:t>
      </w:r>
      <w:proofErr w:type="spellEnd"/>
      <w:r w:rsidRPr="00140673">
        <w:t xml:space="preserve"> - в розовый. Электронно-микроскопическое строение сложное. Оболочка клетки состоит из ряда внешних и внутренних мембран. Цитоплазма представлена </w:t>
      </w:r>
      <w:proofErr w:type="spellStart"/>
      <w:r w:rsidRPr="00140673">
        <w:t>нуклеоидом</w:t>
      </w:r>
      <w:proofErr w:type="spellEnd"/>
      <w:r w:rsidRPr="00140673">
        <w:t xml:space="preserve"> относительно большой величины и множеством рибосом. Дифференциация </w:t>
      </w:r>
      <w:proofErr w:type="spellStart"/>
      <w:r w:rsidRPr="00140673">
        <w:t>бруцелл</w:t>
      </w:r>
      <w:proofErr w:type="spellEnd"/>
      <w:r w:rsidRPr="00140673">
        <w:t xml:space="preserve"> основана на некоторой разнице биохимических и </w:t>
      </w:r>
      <w:proofErr w:type="spellStart"/>
      <w:r w:rsidRPr="00140673">
        <w:t>тинкториальных</w:t>
      </w:r>
      <w:proofErr w:type="spellEnd"/>
      <w:r w:rsidRPr="00140673">
        <w:t xml:space="preserve"> свойств. Каждый вид </w:t>
      </w:r>
      <w:proofErr w:type="spellStart"/>
      <w:r w:rsidRPr="00140673">
        <w:t>бруцелл</w:t>
      </w:r>
      <w:proofErr w:type="spellEnd"/>
      <w:r w:rsidRPr="00140673">
        <w:t xml:space="preserve"> в существующей классификации объединяет ряд биотипов. Биотипы различаются незначительными отклонениями биохимических свойств. Вид </w:t>
      </w: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melitensis</w:t>
      </w:r>
      <w:proofErr w:type="spellEnd"/>
      <w:r w:rsidRPr="00140673">
        <w:t xml:space="preserve"> имеет один классический и два других биотипа; вид </w:t>
      </w: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abortus</w:t>
      </w:r>
      <w:proofErr w:type="spellEnd"/>
      <w:r w:rsidRPr="00140673">
        <w:t xml:space="preserve"> </w:t>
      </w:r>
      <w:proofErr w:type="spellStart"/>
      <w:r w:rsidRPr="00140673">
        <w:t>bovis</w:t>
      </w:r>
      <w:proofErr w:type="spellEnd"/>
      <w:r w:rsidRPr="00140673">
        <w:t xml:space="preserve"> - один основной и 8 </w:t>
      </w:r>
      <w:proofErr w:type="spellStart"/>
      <w:r w:rsidRPr="00140673">
        <w:t>атипичных</w:t>
      </w:r>
      <w:proofErr w:type="spellEnd"/>
      <w:r w:rsidRPr="00140673">
        <w:t xml:space="preserve"> биотипов; вид </w:t>
      </w:r>
      <w:proofErr w:type="spellStart"/>
      <w:r w:rsidRPr="00140673">
        <w:t>Br</w:t>
      </w:r>
      <w:proofErr w:type="spellEnd"/>
      <w:r w:rsidRPr="00140673">
        <w:t xml:space="preserve">. </w:t>
      </w:r>
      <w:proofErr w:type="spellStart"/>
      <w:r w:rsidRPr="00140673">
        <w:t>suis</w:t>
      </w:r>
      <w:proofErr w:type="spellEnd"/>
      <w:r w:rsidRPr="00140673">
        <w:t xml:space="preserve"> - один классический и два </w:t>
      </w:r>
      <w:proofErr w:type="spellStart"/>
      <w:r w:rsidRPr="00140673">
        <w:t>атипичных</w:t>
      </w:r>
      <w:proofErr w:type="spellEnd"/>
      <w:r w:rsidRPr="00140673">
        <w:t xml:space="preserve"> биотипа.  </w:t>
      </w:r>
    </w:p>
    <w:bookmarkEnd w:id="3"/>
    <w:p w:rsidR="00140673" w:rsidRPr="00140673" w:rsidRDefault="00140673" w:rsidP="00FC0619">
      <w:pPr>
        <w:pStyle w:val="a3"/>
        <w:ind w:firstLine="709"/>
        <w:jc w:val="both"/>
        <w:rPr>
          <w:b/>
          <w:bCs/>
        </w:rPr>
      </w:pPr>
      <w:r w:rsidRPr="00140673">
        <w:rPr>
          <w:b/>
          <w:bCs/>
        </w:rPr>
        <w:t xml:space="preserve">СПИСОК ЛИТЕРАТУРЫ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1. </w:t>
      </w:r>
      <w:proofErr w:type="spellStart"/>
      <w:r w:rsidRPr="00140673">
        <w:t>Буткин</w:t>
      </w:r>
      <w:proofErr w:type="spellEnd"/>
      <w:r w:rsidRPr="00140673">
        <w:t xml:space="preserve"> Е.И. Бруцеллез. В кн. Эпизоотология с микробиологией под ред. </w:t>
      </w:r>
      <w:proofErr w:type="spellStart"/>
      <w:r w:rsidRPr="00140673">
        <w:t>Бакулова</w:t>
      </w:r>
      <w:proofErr w:type="spellEnd"/>
      <w:r w:rsidRPr="00140673">
        <w:t xml:space="preserve"> И.А. // М., "Колос", 1981, С. 145-152. </w:t>
      </w:r>
    </w:p>
    <w:p w:rsidR="00140673" w:rsidRPr="00140673" w:rsidRDefault="00140673" w:rsidP="00FC0619">
      <w:pPr>
        <w:pStyle w:val="a3"/>
        <w:ind w:firstLine="709"/>
        <w:jc w:val="both"/>
      </w:pPr>
      <w:r w:rsidRPr="00140673">
        <w:t xml:space="preserve">2. </w:t>
      </w:r>
      <w:proofErr w:type="spellStart"/>
      <w:r w:rsidRPr="00140673">
        <w:t>Жованик</w:t>
      </w:r>
      <w:proofErr w:type="spellEnd"/>
      <w:r w:rsidRPr="00140673">
        <w:t xml:space="preserve"> П.Н и др. Бруцеллез // "Урожай", Киев, 1975, 221 с. </w:t>
      </w:r>
    </w:p>
    <w:p w:rsidR="00140673" w:rsidRPr="00140673" w:rsidRDefault="00140673" w:rsidP="003B6ABA">
      <w:pPr>
        <w:pStyle w:val="a3"/>
        <w:ind w:firstLine="709"/>
        <w:jc w:val="both"/>
      </w:pPr>
      <w:r w:rsidRPr="00140673">
        <w:t>3. Косилов И.А. Бруцеллез сельскохозяйственных животных // Новосибирск, 1992, 260 с.</w:t>
      </w:r>
    </w:p>
    <w:sectPr w:rsidR="00140673" w:rsidRPr="00140673" w:rsidSect="00FC06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6159E"/>
    <w:multiLevelType w:val="multilevel"/>
    <w:tmpl w:val="1C6A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73"/>
    <w:rsid w:val="00140673"/>
    <w:rsid w:val="0030680F"/>
    <w:rsid w:val="003B6ABA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406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4067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406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406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Бруцеллез</vt:lpstr>
    </vt:vector>
  </TitlesOfParts>
  <Company>HOME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Бруцеллез</dc:title>
  <dc:creator>USER</dc:creator>
  <cp:lastModifiedBy>Igor</cp:lastModifiedBy>
  <cp:revision>2</cp:revision>
  <dcterms:created xsi:type="dcterms:W3CDTF">2024-05-26T06:20:00Z</dcterms:created>
  <dcterms:modified xsi:type="dcterms:W3CDTF">2024-05-26T06:20:00Z</dcterms:modified>
</cp:coreProperties>
</file>