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7F" w:rsidRPr="00E417B5" w:rsidRDefault="00D8357F" w:rsidP="00D8357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417B5">
        <w:rPr>
          <w:b/>
          <w:bCs/>
          <w:sz w:val="32"/>
          <w:szCs w:val="32"/>
        </w:rPr>
        <w:t>Детское и специальное питание сегодня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Диетотерапия занимает ведущее место в лечении таких заболеваний, как наследственные энзимопатии, пищевая аллергия, гипо- и гипер-витаминозы. В сочетании с медикаментами диетические продукты играют важную роль в лечении болезней желудочно-кишечного тракта (ЖКТ), диабета, анемии, рахита, болезней почек, а также помогают при инфекционных заболеваниях, острых хронических заболеваниях бронхолегочной системы, хирургических патологиях. Еще недавно продукты энтерального питания можно было встретить лишь в специализированных магазинах, сегодня энтеральное питание стремительно завоевывает все большую популярность у врачей и пациентов и появляется на полках аптек и аптечных сетей. По экспертным оценкам, темпы роста продаж в сегменте специального питания в 2006 г. составят примерно 20%, а в дальнейшем увеличатся до 30%.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В России за последние 5 лет общая заболеваемость новорожденных детей увеличилась на 9,5%. У детей 1-го года жизни преобладают заболевания, обусловленные пищевой непереносимостью. К ним в первую очередь относятся разнообразные аллергические проявления, лактозная недостаточность и целиакия. Поэтому при разработке детского питания специалисты группы «Нутритек» учитывают особенности заболеваний детей 1-го года жизни. В создании продукции участвуют ведущие диетологи и нутрициологи ГУ НЦ здоровья детей РАМН и ГУ НИИ питания РАМН. Комплексный подход к решению проблем здоровья ребенка начинается с заботы о здоровье и правильном питании беременной женщины, а в дальнейшем кормящей матери. Для правильного развития плода и поддержания лактации будущей и кормящей мамы ученые и специалисты разработали специальные продукты Фемилак и Лактамил. Детские стандартные и лечебные смеси, соки, овощные и фруктовые пюре, мясные и мясорастительные пюре, молочные и безмолочные каши группа «Нутритек» производит под торговыми марками «Нутрилак», «Крошка», «Вини». Для лечебного питания при лактозной недостаточности разработаны продукты Нутрилак и Низколактозный, при непереносимости лактозы — Нутрилак Безлактозный, при непереносимости белков коровьего молока и лактозы — Нутрилак Соя, для профилактики аллергии — Нутрилак ГА. При функциональных нарушениях ЖКТ применяется Нутрилак АР, а для профилактики и комплексного лечения дисбактериоза — Нутрилак Кисломолочный и Нутрилак БИФИ. Для вскармливания недоношенных детей и детей с низкой массой тела разработана смесь Нутрилак ПРЕ. Все смеси имеют оптимально сбалансированный состав, легко усваиваются и полностью соответствуют потребностям детей 1-го года жизни в основных пищевых веществах и энергии и отвечают всем международным требованиям, предъявляемым к этой категории продуктов. Учитывая специфику продукта, нельзя не отметить, что в отличие от магазинов в аптеках у потребителя есть возможность получения профессиональной консультации, что позволяет ему сделать правильный выбор при решении о покупке. Квалифицированное консультирование повышает уровень лояльности потребительской аудитории как к продукту, так и к месту покупки. Направление продуктов детского и специального питания на сегодняшний день является одним из самых перспективных на фармацевтическом рынке.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Еще один новый быстро растущий сегмент фармацевтического рынка — смеси специального и лечебного питания. Отчасти его росту способствовало издание Минздравом РФ приказа от 5 августа 2003 г. №330 «О мерах по совершенствованию лечебного питания в лечебно-профилактических учреждениях Российской Федерации», который регламентировал нормы потребления пищевых веществ, а также расширил возможности по применению специализированных смесей и продуктов диетического питания. С другой стороны, эффективность применения энтерального питания и фармако-экономические предпосылки его применения привели к заметному росту интереса со стороны специалистов к таким смесям. В последнее время значимость нутритивной поддержки как лечебного фактора доказана рядом научных исследований.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lastRenderedPageBreak/>
        <w:t>Основными показаниями к введению в рацион специальных продуктов питания (как в качестве единственного источника пищевых веществ и энергии или как добавки к диетическому питанию) являются: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• белково-энергетическая недостаточность, не компенсируемая обычным пищевым рационом или диетическим питанием;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• органические поражения пищеварительного тракта, затрудняющие поступление необходимого количества питательных веществ;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• расстройства ЦНС: коматозные состояния, цереброваскулярные инсульты или болезнь Паркинсона, в результате которых развивается нарушение питательного статуса;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• лучевая и химиотерапия при онкологических заболеваниях;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•</w:t>
      </w:r>
      <w:r>
        <w:t xml:space="preserve"> </w:t>
      </w:r>
      <w:r w:rsidRPr="00522130">
        <w:t>заболевания ЖКТ: болезнь Крона, синдром мальабсорбции, синдром короткой кишки, хронический панкреатит, язвенный колит, заболевания печени и желчевыводящих путей;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• пред- и послеоперационный период;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• физические и эмоциональные перегрузки, профессиональные вредности, экстремальные условия;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• травма, ожоги, острые отравления;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•</w:t>
      </w:r>
      <w:r>
        <w:t xml:space="preserve"> </w:t>
      </w:r>
      <w:r w:rsidRPr="00522130">
        <w:t>инфекционные заболевания;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• психические расстройства: нервно-психическая анорексия, тяжелая депрессия;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•</w:t>
      </w:r>
      <w:r>
        <w:t xml:space="preserve"> </w:t>
      </w:r>
      <w:r w:rsidRPr="00522130">
        <w:t>невозможность или отказ принимать пищу;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• острые и хронические радиационные поражения;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• туберкулез;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•</w:t>
      </w:r>
      <w:r>
        <w:t xml:space="preserve"> </w:t>
      </w:r>
      <w:r w:rsidRPr="00522130">
        <w:t>почечная недостаточность (в т.ч. больные, находящиеся на диализной терапии);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• печеночная недостаточность.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Около 50 питательных средств разрешено сегодня в России для энте-рального питания. Основными параметрами выбора питательной смеси служат: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• качество белка (в последнее время преимущество отдается сывороточным белкам коровьего молока в сочетании с казеинатами высокой степени очистки);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• углеводный компонент (обычно это мальтодекстрины, зачастую вводятся пищевые волокна);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• жировой компонент (обязательно содержание среднецепочечных триглицеридов, а также натуральных растительных масел);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• присутствие в смеси таких «нут-рицевтиков», как ю-3 жирные кислоты, аргинин, глутамин, антиоксиданты, обладающие специфическими («фармакологическими») свойствами;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•</w:t>
      </w:r>
      <w:r>
        <w:t xml:space="preserve"> </w:t>
      </w:r>
      <w:r w:rsidRPr="00522130">
        <w:t>смесь не должна содержать глютен, лактозу, пурины, холестерин. Смеси разделяют на сбалансированные стандартные, гиперкалорийные, полуэлементные, иммуномодулирующие, метаболически ориентированные (или органоспецифические).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 xml:space="preserve">Особенностью настоящего этапа развития рынка энтерального питания является активное развитие метаболически ориентированной группы питательных смесей. Так, в прошлые годы основной объем рынка в денежном выражении приходился на стандартные смеси, в настоящий момент рост рынка происходит в основном за счет сегментов гиперкалорийных, иммуномоду-лирующих, метаболически ориентированных смесей. Существенными и перспективными являются сегменты метаболически ориентированных диет </w:t>
      </w:r>
      <w:r w:rsidRPr="00522130">
        <w:lastRenderedPageBreak/>
        <w:t>для больных сахарным диабетом (Нутриэн Диабет), а также больных с почечной недостаточностью, в т.ч. находящихся на диализной терапии и в междиализный период (Нутриэн Нефро). Еще одна тенденция рынка — появление ряда новых метаболически ориентированных смесей, таких как питательные смеси для больных туберкулезом. В конце 2005 г. Минздравсоц-развития РФ выпущены «Рекомендации по диетической терапии больных туберкулезом», в которых определены нормы и стандарты нутритивной поддержки больных данным заболеванием. Уникальным в своем роде препаратом, рекомендованным для нутритивной поддержки больных туберкулезом, является продукт Нутриэн Фтизио, предназначенный для перорального приема в качестве добавки к основной диете. Ожидается вывод на рынок специализированных продуктов для онкологических больных.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Стоит особо отметить возросший интерес к отечественным продуктам энтерального питания. Технологические возможности завода «Нутритек» и рецептуры, разработанные при участии ведущих ученых страны (Институт питания РАМН, Российская ассоциация парентерального и энтерального питания) позволили освоить выпуск широкого ассортимента высококачественного энтерального питания. Неоспоримым достоинством питательных смесей «Нутриэн», выпускаемых группой «Нутритек», является европейский уровень качества, оптимальное соотношение качество/цена, учет потребностей россиян в питательных веществах. Недорогие отечественные стандартные и метаболически ориентированные лечебные смеси формируют новый сегмент на рынке энтерального питания, ранее представленного в основном смесями иностранного производства.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Продукты энтерального питания в рознице представлены не столь широко. Оптимальными для реализации товаров данной категории являются аптечные учреждения, находящиеся в непосредственной близости от ЛПУ, специалисты которых назначают пациентам энтеральное питание, или имеющие удобное местоположение для того, чтобы все нуждающиеся могли легко добраться и быстро найти такую аптеку. Кроме того, необходима осведомленность работников аптеки в области специального питания, что позволит делать верные прогнозы по данной товарной категории, консультировать покупателей и поддерживать стабильный спрос в своей аптеке.</w:t>
      </w:r>
    </w:p>
    <w:p w:rsidR="00D8357F" w:rsidRPr="00522130" w:rsidRDefault="00D8357F" w:rsidP="00D8357F">
      <w:pPr>
        <w:spacing w:before="120"/>
        <w:ind w:firstLine="567"/>
        <w:jc w:val="both"/>
      </w:pPr>
      <w:r w:rsidRPr="00522130">
        <w:t>Было бы не верно рекомендовать всем без исключения аптечным учреждениям расширять свой ассортимент за счет включения в него широкого спектра продуктов энтерального питания, однако изучить спрос у покупателей аптеки на некоторые востребованные продукты специального питания целесообразно.</w:t>
      </w:r>
    </w:p>
    <w:p w:rsidR="00D8357F" w:rsidRPr="00E417B5" w:rsidRDefault="00D8357F" w:rsidP="00D8357F">
      <w:pPr>
        <w:spacing w:before="120"/>
        <w:jc w:val="center"/>
        <w:rPr>
          <w:b/>
          <w:bCs/>
          <w:sz w:val="28"/>
          <w:szCs w:val="28"/>
        </w:rPr>
      </w:pPr>
      <w:r w:rsidRPr="00E417B5">
        <w:rPr>
          <w:b/>
          <w:bCs/>
          <w:sz w:val="28"/>
          <w:szCs w:val="28"/>
        </w:rPr>
        <w:t>Список литературы</w:t>
      </w:r>
    </w:p>
    <w:p w:rsidR="00D8357F" w:rsidRDefault="00D8357F" w:rsidP="00D8357F">
      <w:pPr>
        <w:spacing w:before="120"/>
        <w:ind w:firstLine="567"/>
        <w:jc w:val="both"/>
      </w:pPr>
      <w:r>
        <w:t>Журнал «Российский аптеки» № 8, 2006.</w:t>
      </w:r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7F"/>
    <w:rsid w:val="0031418A"/>
    <w:rsid w:val="00492FFC"/>
    <w:rsid w:val="00522130"/>
    <w:rsid w:val="005A2562"/>
    <w:rsid w:val="00BA5726"/>
    <w:rsid w:val="00D8357F"/>
    <w:rsid w:val="00E12572"/>
    <w:rsid w:val="00E4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A3B9AF-C335-4894-A7FC-5B6B6100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7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1362</Words>
  <Characters>7765</Characters>
  <Application>Microsoft Office Word</Application>
  <DocSecurity>0</DocSecurity>
  <Lines>64</Lines>
  <Paragraphs>18</Paragraphs>
  <ScaleCrop>false</ScaleCrop>
  <Company>Home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Детское и специальное питание сегодня</dc:title>
  <dc:subject/>
  <dc:creator>Alena</dc:creator>
  <cp:keywords/>
  <dc:description/>
  <cp:lastModifiedBy>Igor Trofimov</cp:lastModifiedBy>
  <cp:revision>2</cp:revision>
  <dcterms:created xsi:type="dcterms:W3CDTF">2024-10-05T18:33:00Z</dcterms:created>
  <dcterms:modified xsi:type="dcterms:W3CDTF">2024-10-05T18:33:00Z</dcterms:modified>
</cp:coreProperties>
</file>