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55" w:rsidRDefault="002B76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Эффективность</w:t>
      </w:r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Амоксиклава</w:t>
      </w:r>
      <w:proofErr w:type="spellEnd"/>
      <w:r>
        <w:rPr>
          <w:rFonts w:eastAsia="Times New Roman"/>
          <w:b/>
          <w:bCs/>
          <w:color w:val="000000"/>
          <w:sz w:val="32"/>
          <w:szCs w:val="32"/>
        </w:rPr>
        <w:t>®</w:t>
      </w:r>
      <w:r>
        <w:rPr>
          <w:b/>
          <w:bCs/>
          <w:color w:val="000000"/>
          <w:sz w:val="32"/>
          <w:szCs w:val="32"/>
        </w:rPr>
        <w:t xml:space="preserve"> 1000 </w:t>
      </w:r>
      <w:r>
        <w:rPr>
          <w:rFonts w:eastAsia="Times New Roman"/>
          <w:b/>
          <w:bCs/>
          <w:color w:val="000000"/>
          <w:sz w:val="32"/>
          <w:szCs w:val="32"/>
        </w:rPr>
        <w:t>мг</w:t>
      </w:r>
      <w:r>
        <w:rPr>
          <w:b/>
          <w:bCs/>
          <w:color w:val="000000"/>
          <w:sz w:val="32"/>
          <w:szCs w:val="32"/>
        </w:rPr>
        <w:t xml:space="preserve"> +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</w:rPr>
        <w:t>Рокситромицин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Лек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лечении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воспалительных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заболеваний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органов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малого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таза</w:t>
      </w:r>
    </w:p>
    <w:p w:rsidR="00F96555" w:rsidRDefault="002B769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Щукина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Буянова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Федорович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Аполихина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Колесникова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Митюшкина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/>
          <w:color w:val="000000"/>
          <w:sz w:val="28"/>
          <w:szCs w:val="28"/>
        </w:rPr>
        <w:t>Пескова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Московский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областной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НИИ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акушерства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гинекологии</w:t>
      </w:r>
      <w:r>
        <w:rPr>
          <w:color w:val="000000"/>
          <w:sz w:val="28"/>
          <w:szCs w:val="28"/>
        </w:rPr>
        <w:t xml:space="preserve">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>Воспалительные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причиняющую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[8].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составляют</w:t>
      </w:r>
      <w:r>
        <w:rPr>
          <w:color w:val="000000"/>
          <w:sz w:val="24"/>
          <w:szCs w:val="24"/>
        </w:rPr>
        <w:t xml:space="preserve"> 60–65%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амбулаторных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30% –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стационарных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[4].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Исходом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эктопическая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беременность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невынашивание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внутриутробное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инфицирование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репродуктивной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банального»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сальпингита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серьезными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однократного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эпизода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гнойного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40%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бесплодными</w:t>
      </w:r>
      <w:r>
        <w:rPr>
          <w:color w:val="000000"/>
          <w:sz w:val="24"/>
          <w:szCs w:val="24"/>
        </w:rPr>
        <w:t xml:space="preserve"> [9].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H. </w:t>
      </w:r>
      <w:proofErr w:type="spellStart"/>
      <w:r>
        <w:rPr>
          <w:color w:val="000000"/>
          <w:sz w:val="24"/>
          <w:szCs w:val="24"/>
        </w:rPr>
        <w:t>Buchan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Vessey</w:t>
      </w:r>
      <w:proofErr w:type="spellEnd"/>
      <w:r>
        <w:rPr>
          <w:color w:val="000000"/>
          <w:sz w:val="24"/>
          <w:szCs w:val="24"/>
        </w:rPr>
        <w:t xml:space="preserve"> [7],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синдромом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6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диагностируется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эндометриоз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внематочной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фармакологии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консервативному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антибактериальной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изменяющимся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смешанной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аэробной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анаэробной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атипичной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микрофлоры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резистентности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микроорганизмов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продуцирущих</w:t>
      </w:r>
      <w:proofErr w:type="spellEnd"/>
      <w:r>
        <w:rPr>
          <w:color w:val="000000"/>
          <w:sz w:val="24"/>
          <w:szCs w:val="24"/>
        </w:rPr>
        <w:t xml:space="preserve"> b-</w:t>
      </w:r>
      <w:proofErr w:type="spellStart"/>
      <w:r>
        <w:rPr>
          <w:rFonts w:eastAsia="Times New Roman"/>
          <w:color w:val="000000"/>
          <w:sz w:val="24"/>
          <w:szCs w:val="24"/>
        </w:rPr>
        <w:t>лактамазы</w:t>
      </w:r>
      <w:proofErr w:type="spellEnd"/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вызывающих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антибиотикопрофилактики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акушерско–гинекологического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стационара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освещена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зарубежной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литературе</w:t>
      </w:r>
      <w:r>
        <w:rPr>
          <w:color w:val="000000"/>
          <w:sz w:val="24"/>
          <w:szCs w:val="24"/>
        </w:rPr>
        <w:t xml:space="preserve"> [1–3,5–6],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поликлиники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амоксициллина</w:t>
      </w:r>
      <w:r>
        <w:rPr>
          <w:color w:val="000000"/>
          <w:sz w:val="24"/>
          <w:szCs w:val="24"/>
        </w:rPr>
        <w:t>/</w:t>
      </w:r>
      <w:proofErr w:type="spellStart"/>
      <w:r>
        <w:rPr>
          <w:rFonts w:eastAsia="Times New Roman"/>
          <w:color w:val="000000"/>
          <w:sz w:val="24"/>
          <w:szCs w:val="24"/>
        </w:rPr>
        <w:t>клавуланата</w:t>
      </w:r>
      <w:proofErr w:type="spellEnd"/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rFonts w:eastAsia="Times New Roman"/>
          <w:color w:val="000000"/>
          <w:sz w:val="24"/>
          <w:szCs w:val="24"/>
        </w:rPr>
        <w:t>Амоксиклав</w:t>
      </w:r>
      <w:proofErr w:type="spellEnd"/>
      <w:r>
        <w:rPr>
          <w:rFonts w:eastAsia="Times New Roman"/>
          <w:color w:val="000000"/>
          <w:sz w:val="24"/>
          <w:szCs w:val="24"/>
        </w:rPr>
        <w:t>®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</w:t>
      </w:r>
      <w:r>
        <w:rPr>
          <w:color w:val="000000"/>
          <w:sz w:val="24"/>
          <w:szCs w:val="24"/>
        </w:rPr>
        <w:t xml:space="preserve">) ± </w:t>
      </w:r>
      <w:proofErr w:type="spellStart"/>
      <w:r>
        <w:rPr>
          <w:rFonts w:eastAsia="Times New Roman"/>
          <w:color w:val="000000"/>
          <w:sz w:val="24"/>
          <w:szCs w:val="24"/>
        </w:rPr>
        <w:t>рокситромицин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rFonts w:eastAsia="Times New Roman"/>
          <w:color w:val="000000"/>
          <w:sz w:val="24"/>
          <w:szCs w:val="24"/>
        </w:rPr>
        <w:t>Рокситромицин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амбулаторных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Материалы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методы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включено</w:t>
      </w:r>
      <w:r>
        <w:rPr>
          <w:color w:val="000000"/>
          <w:sz w:val="24"/>
          <w:szCs w:val="24"/>
        </w:rPr>
        <w:t xml:space="preserve"> 77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возрасте</w:t>
      </w:r>
      <w:r>
        <w:rPr>
          <w:color w:val="000000"/>
          <w:sz w:val="24"/>
          <w:szCs w:val="24"/>
        </w:rPr>
        <w:t xml:space="preserve"> 18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острым</w:t>
      </w:r>
      <w:r>
        <w:rPr>
          <w:color w:val="000000"/>
          <w:sz w:val="24"/>
          <w:szCs w:val="24"/>
        </w:rPr>
        <w:t xml:space="preserve"> (8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подострым</w:t>
      </w:r>
      <w:r>
        <w:rPr>
          <w:color w:val="000000"/>
          <w:sz w:val="24"/>
          <w:szCs w:val="24"/>
        </w:rPr>
        <w:t xml:space="preserve"> (10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хроническим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сальпингоофоритом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обострения</w:t>
      </w:r>
      <w:r>
        <w:rPr>
          <w:color w:val="000000"/>
          <w:sz w:val="24"/>
          <w:szCs w:val="24"/>
        </w:rPr>
        <w:t xml:space="preserve"> (59).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поликлинику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жалобами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недомогания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дизурических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расстройств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амбулаторного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трудности</w:t>
      </w:r>
      <w:r>
        <w:rPr>
          <w:color w:val="000000"/>
          <w:sz w:val="24"/>
          <w:szCs w:val="24"/>
        </w:rPr>
        <w:t xml:space="preserve">, </w:t>
      </w:r>
      <w:proofErr w:type="gramStart"/>
      <w:r>
        <w:rPr>
          <w:rFonts w:eastAsia="Times New Roman"/>
          <w:color w:val="000000"/>
          <w:sz w:val="24"/>
          <w:szCs w:val="24"/>
        </w:rPr>
        <w:t>связанные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тяжести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воспаления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критериям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отнесены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требующих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госпитализации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гнойных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развившихся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абортов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внутриматочных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послеоперационных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нуждающейся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дифференциального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>).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тяжелой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экстрагенитальной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компонентам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амоксициллину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клавулановой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кислоте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рокситромицину</w:t>
      </w:r>
      <w:proofErr w:type="spellEnd"/>
      <w:r>
        <w:rPr>
          <w:color w:val="000000"/>
          <w:sz w:val="24"/>
          <w:szCs w:val="24"/>
        </w:rPr>
        <w:t xml:space="preserve">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терапию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Амоксиклавом</w:t>
      </w:r>
      <w:proofErr w:type="spellEnd"/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</w:t>
      </w:r>
      <w:proofErr w:type="gramStart"/>
      <w:r>
        <w:rPr>
          <w:color w:val="000000"/>
          <w:sz w:val="24"/>
          <w:szCs w:val="24"/>
        </w:rPr>
        <w:t>2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7–10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</w:rPr>
        <w:t>Амоксиклав</w:t>
      </w:r>
      <w:proofErr w:type="spellEnd"/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комбинацию</w:t>
      </w:r>
      <w:r>
        <w:rPr>
          <w:color w:val="000000"/>
          <w:sz w:val="24"/>
          <w:szCs w:val="24"/>
        </w:rPr>
        <w:t xml:space="preserve"> 875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амоксициллина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rFonts w:eastAsia="Times New Roman"/>
          <w:color w:val="000000"/>
          <w:sz w:val="24"/>
          <w:szCs w:val="24"/>
        </w:rPr>
        <w:t>аминопенициллина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антибактериальной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125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клавулановой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необратимого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ингибитора</w:t>
      </w:r>
      <w:r>
        <w:rPr>
          <w:color w:val="000000"/>
          <w:sz w:val="24"/>
          <w:szCs w:val="24"/>
        </w:rPr>
        <w:t xml:space="preserve"> b-</w:t>
      </w:r>
      <w:proofErr w:type="spellStart"/>
      <w:r>
        <w:rPr>
          <w:rFonts w:eastAsia="Times New Roman"/>
          <w:color w:val="000000"/>
          <w:sz w:val="24"/>
          <w:szCs w:val="24"/>
        </w:rPr>
        <w:t>лактамаз</w:t>
      </w:r>
      <w:proofErr w:type="spellEnd"/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Рокситромицина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 300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1–2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относились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указание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инфицирование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атипичными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микроорганизмами</w:t>
      </w:r>
      <w:r>
        <w:rPr>
          <w:color w:val="000000"/>
          <w:sz w:val="24"/>
          <w:szCs w:val="24"/>
        </w:rPr>
        <w:t xml:space="preserve"> (C. </w:t>
      </w:r>
      <w:proofErr w:type="spellStart"/>
      <w:r>
        <w:rPr>
          <w:color w:val="000000"/>
          <w:sz w:val="24"/>
          <w:szCs w:val="24"/>
        </w:rPr>
        <w:t>trachomatis</w:t>
      </w:r>
      <w:proofErr w:type="spellEnd"/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инфицирование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атипичными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микроорганизмами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первоначальная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Результаты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</w:t>
      </w:r>
      <w:r>
        <w:rPr>
          <w:color w:val="000000"/>
          <w:sz w:val="24"/>
          <w:szCs w:val="24"/>
        </w:rPr>
        <w:t xml:space="preserve"> 28,9±7,8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превалирует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восходящий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37 </w:t>
      </w:r>
      <w:r>
        <w:rPr>
          <w:rFonts w:eastAsia="Times New Roman"/>
          <w:color w:val="000000"/>
          <w:sz w:val="24"/>
          <w:szCs w:val="24"/>
        </w:rPr>
        <w:t>наших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(48,1%) </w:t>
      </w:r>
      <w:r>
        <w:rPr>
          <w:rFonts w:eastAsia="Times New Roman"/>
          <w:color w:val="000000"/>
          <w:sz w:val="24"/>
          <w:szCs w:val="24"/>
        </w:rPr>
        <w:t>имелся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сопутствующий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эндомиометрит</w:t>
      </w:r>
      <w:proofErr w:type="spellEnd"/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обследуемой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контакты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Множественные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19 (24,7%)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передающиеся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встречались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41 (53,2%)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партнеров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незащищенные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предпосылок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49 (63,6%)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хирургическое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14 (18,2%).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Терапию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– 60 (77,9%)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Продолжительность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составила</w:t>
      </w:r>
      <w:r>
        <w:rPr>
          <w:color w:val="000000"/>
          <w:sz w:val="24"/>
          <w:szCs w:val="24"/>
        </w:rPr>
        <w:t xml:space="preserve"> 12,0±12,5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субфебрильная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</w:rPr>
        <w:t xml:space="preserve"> 37,2±0,5°C).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подавляющего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болевой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локализовалась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71 (92,2%)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влагалищном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симптомы</w:t>
      </w:r>
      <w:r>
        <w:rPr>
          <w:color w:val="000000"/>
          <w:sz w:val="24"/>
          <w:szCs w:val="24"/>
        </w:rPr>
        <w:t xml:space="preserve">: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болезненность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пальпации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54 (70,1%)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;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болезненность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65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(84,4%).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Патологические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влагалища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60 (77,9%)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исследовании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цервикального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отделяемого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лейкоцитов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Граму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69 (89,6%)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лейкоцитов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периферической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</w:rPr>
        <w:t xml:space="preserve"> (8,3±2,5)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9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палочкоядерных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</w:rPr>
        <w:t xml:space="preserve"> 4,8±3,3%.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Показателем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сохранившим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информативность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эритроцитов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</w:rPr>
        <w:t xml:space="preserve"> 14,7±6,9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клиническая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соответствовала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стадии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Выраженность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составила</w:t>
      </w:r>
      <w:r>
        <w:rPr>
          <w:color w:val="000000"/>
          <w:sz w:val="24"/>
          <w:szCs w:val="24"/>
        </w:rPr>
        <w:t xml:space="preserve"> 2,9±0,6 </w:t>
      </w:r>
      <w:r>
        <w:rPr>
          <w:rFonts w:eastAsia="Times New Roman"/>
          <w:color w:val="000000"/>
          <w:sz w:val="24"/>
          <w:szCs w:val="24"/>
        </w:rPr>
        <w:t>балла</w:t>
      </w:r>
      <w:r>
        <w:rPr>
          <w:color w:val="000000"/>
          <w:sz w:val="24"/>
          <w:szCs w:val="24"/>
        </w:rPr>
        <w:t xml:space="preserve"> (1 – </w:t>
      </w:r>
      <w:r>
        <w:rPr>
          <w:rFonts w:eastAsia="Times New Roman"/>
          <w:color w:val="000000"/>
          <w:sz w:val="24"/>
          <w:szCs w:val="24"/>
        </w:rPr>
        <w:t>расценивалось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, 2 –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, 3 –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выраженность</w:t>
      </w:r>
      <w:r>
        <w:rPr>
          <w:color w:val="000000"/>
          <w:sz w:val="24"/>
          <w:szCs w:val="24"/>
        </w:rPr>
        <w:t xml:space="preserve">, 4 – </w:t>
      </w:r>
      <w:r>
        <w:rPr>
          <w:rFonts w:eastAsia="Times New Roman"/>
          <w:color w:val="000000"/>
          <w:sz w:val="24"/>
          <w:szCs w:val="24"/>
        </w:rPr>
        <w:t>выраженные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Амоксиклавом</w:t>
      </w:r>
      <w:proofErr w:type="spellEnd"/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составила</w:t>
      </w:r>
      <w:r>
        <w:rPr>
          <w:color w:val="000000"/>
          <w:sz w:val="24"/>
          <w:szCs w:val="24"/>
        </w:rPr>
        <w:t xml:space="preserve"> 9,8±1,4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45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 (58,4%)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добавлен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Рокситромицином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дозе</w:t>
      </w:r>
      <w:r>
        <w:rPr>
          <w:color w:val="000000"/>
          <w:sz w:val="24"/>
          <w:szCs w:val="24"/>
        </w:rPr>
        <w:t xml:space="preserve"> 300 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1–2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os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color w:val="000000"/>
          <w:sz w:val="24"/>
          <w:szCs w:val="24"/>
        </w:rPr>
        <w:t>C</w:t>
      </w:r>
      <w:proofErr w:type="gramEnd"/>
      <w:r>
        <w:rPr>
          <w:rFonts w:eastAsia="Times New Roman"/>
          <w:color w:val="000000"/>
          <w:sz w:val="24"/>
          <w:szCs w:val="24"/>
        </w:rPr>
        <w:t>редняя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Рокситромицином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составила</w:t>
      </w:r>
      <w:r>
        <w:rPr>
          <w:color w:val="000000"/>
          <w:sz w:val="24"/>
          <w:szCs w:val="24"/>
        </w:rPr>
        <w:t xml:space="preserve"> 9,0±2,2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выраженность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составила</w:t>
      </w:r>
      <w:r>
        <w:rPr>
          <w:color w:val="000000"/>
          <w:sz w:val="24"/>
          <w:szCs w:val="24"/>
        </w:rPr>
        <w:t xml:space="preserve"> 2,9±0,6 </w:t>
      </w:r>
      <w:r>
        <w:rPr>
          <w:rFonts w:eastAsia="Times New Roman"/>
          <w:color w:val="000000"/>
          <w:sz w:val="24"/>
          <w:szCs w:val="24"/>
        </w:rPr>
        <w:t>балла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купировались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Выраженность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составила</w:t>
      </w:r>
      <w:r>
        <w:rPr>
          <w:color w:val="000000"/>
          <w:sz w:val="24"/>
          <w:szCs w:val="24"/>
        </w:rPr>
        <w:t xml:space="preserve"> 1,1±0,4 </w:t>
      </w:r>
      <w:r>
        <w:rPr>
          <w:rFonts w:eastAsia="Times New Roman"/>
          <w:color w:val="000000"/>
          <w:sz w:val="24"/>
          <w:szCs w:val="24"/>
        </w:rPr>
        <w:t>балла</w:t>
      </w:r>
      <w:r>
        <w:rPr>
          <w:color w:val="000000"/>
          <w:sz w:val="24"/>
          <w:szCs w:val="24"/>
        </w:rPr>
        <w:t xml:space="preserve"> (1 </w:t>
      </w:r>
      <w:r>
        <w:rPr>
          <w:rFonts w:eastAsia="Times New Roman"/>
          <w:color w:val="000000"/>
          <w:sz w:val="24"/>
          <w:szCs w:val="24"/>
        </w:rPr>
        <w:t>балл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Температура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нормализовалась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</w:rPr>
        <w:t xml:space="preserve"> 36,6±0,2°C.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потребовалось</w:t>
      </w:r>
      <w:r>
        <w:rPr>
          <w:color w:val="000000"/>
          <w:sz w:val="24"/>
          <w:szCs w:val="24"/>
        </w:rPr>
        <w:t xml:space="preserve"> 3,2±2,2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</w:rPr>
        <w:t xml:space="preserve"> 6,9±2,7.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нормализовались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лейкоцитов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</w:rPr>
        <w:t xml:space="preserve"> (6,0±1,6)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9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наблюдалось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достоверное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показателями</w:t>
      </w:r>
      <w:r>
        <w:rPr>
          <w:color w:val="000000"/>
          <w:sz w:val="24"/>
          <w:szCs w:val="24"/>
        </w:rPr>
        <w:t xml:space="preserve"> (8,3±2,5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9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Положительные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претерпели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исследуемые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палочкоядерных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нейтрофилов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</w:rPr>
        <w:t xml:space="preserve"> 2,9±1,7%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– 4,8±3,3%). </w:t>
      </w:r>
      <w:r>
        <w:rPr>
          <w:rFonts w:eastAsia="Times New Roman"/>
          <w:color w:val="000000"/>
          <w:sz w:val="24"/>
          <w:szCs w:val="24"/>
        </w:rPr>
        <w:t>Среднее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– 7,9±3,3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– 14,7±6,9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цервикального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отделяемого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лейкоцитов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Граму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6 (7,8%)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[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69 (89,6%)].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ультразвуковое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ультразвукового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излечение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56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(72,7%), </w:t>
      </w:r>
      <w:r>
        <w:rPr>
          <w:rFonts w:eastAsia="Times New Roman"/>
          <w:color w:val="000000"/>
          <w:sz w:val="24"/>
          <w:szCs w:val="24"/>
        </w:rPr>
        <w:t>улучшение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21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 (27,3%).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Клиническая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излечение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63 (81,8%)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улучшение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14 (18,2%). </w:t>
      </w:r>
    </w:p>
    <w:p w:rsidR="00F96555" w:rsidRDefault="002B76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Обсуждение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показано</w:t>
      </w:r>
      <w:r>
        <w:rPr>
          <w:color w:val="000000"/>
          <w:sz w:val="24"/>
          <w:szCs w:val="24"/>
        </w:rPr>
        <w:t xml:space="preserve"> [1–6,9],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этиология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смешанной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флорой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Антибактериальная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мероприятием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купирование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микробного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манифестации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Естественно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антибактериальных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ориентирован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резистентности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микроорганизмов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антибактериальным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придерживаемся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антибактериальной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поликлинических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: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Воздействие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патогены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антибактериальной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подтвержденных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адекватным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микробиологическим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исследованием</w:t>
      </w:r>
      <w:r>
        <w:rPr>
          <w:color w:val="000000"/>
          <w:sz w:val="24"/>
          <w:szCs w:val="24"/>
        </w:rPr>
        <w:t xml:space="preserve">).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трансмиссивных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изучена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Микроорганизмы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ассоциативной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патогенами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C. </w:t>
      </w:r>
      <w:proofErr w:type="spellStart"/>
      <w:r>
        <w:rPr>
          <w:color w:val="000000"/>
          <w:sz w:val="24"/>
          <w:szCs w:val="24"/>
        </w:rPr>
        <w:t>trachomatis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безусловным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патогеном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к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патогенным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микоплазмам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выделяемым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ассоциации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гораздо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вирулентными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микроорганизмами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неоднозначно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паразитизма</w:t>
      </w:r>
      <w:r>
        <w:rPr>
          <w:color w:val="000000"/>
          <w:sz w:val="24"/>
          <w:szCs w:val="24"/>
        </w:rPr>
        <w:t xml:space="preserve">) [2,3,6].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атипичных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внутриклеточных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возбудителей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Необходима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7–10 </w:t>
      </w:r>
      <w:r>
        <w:rPr>
          <w:rFonts w:eastAsia="Times New Roman"/>
          <w:color w:val="000000"/>
          <w:sz w:val="24"/>
          <w:szCs w:val="24"/>
        </w:rPr>
        <w:t>суток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Целесообразно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монотерапии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лучшего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комплайенса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предпочтительно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кратностью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сутки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контаминации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контрацепции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партнера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стационарно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амбулаторных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фиксированные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пенициллинов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ингибиторами</w:t>
      </w:r>
      <w:r>
        <w:rPr>
          <w:color w:val="000000"/>
          <w:sz w:val="24"/>
          <w:szCs w:val="24"/>
        </w:rPr>
        <w:t xml:space="preserve"> b-</w:t>
      </w:r>
      <w:proofErr w:type="spellStart"/>
      <w:r>
        <w:rPr>
          <w:rFonts w:eastAsia="Times New Roman"/>
          <w:color w:val="000000"/>
          <w:sz w:val="24"/>
          <w:szCs w:val="24"/>
        </w:rPr>
        <w:t>лактамаз</w:t>
      </w:r>
      <w:proofErr w:type="spellEnd"/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амоксициллин</w:t>
      </w:r>
      <w:r>
        <w:rPr>
          <w:color w:val="000000"/>
          <w:sz w:val="24"/>
          <w:szCs w:val="24"/>
        </w:rPr>
        <w:t>/</w:t>
      </w:r>
      <w:proofErr w:type="spellStart"/>
      <w:r>
        <w:rPr>
          <w:rFonts w:eastAsia="Times New Roman"/>
          <w:color w:val="000000"/>
          <w:sz w:val="24"/>
          <w:szCs w:val="24"/>
        </w:rPr>
        <w:t>клавулановую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кислоту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rFonts w:eastAsia="Times New Roman"/>
          <w:color w:val="000000"/>
          <w:sz w:val="24"/>
          <w:szCs w:val="24"/>
        </w:rPr>
        <w:t>Амоксиклав</w:t>
      </w:r>
      <w:proofErr w:type="spellEnd"/>
      <w:r>
        <w:rPr>
          <w:rFonts w:eastAsia="Times New Roman"/>
          <w:color w:val="000000"/>
          <w:sz w:val="24"/>
          <w:szCs w:val="24"/>
        </w:rPr>
        <w:t>®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Лек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Преимущество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</w:t>
      </w:r>
      <w:proofErr w:type="gramStart"/>
      <w:r>
        <w:rPr>
          <w:rFonts w:eastAsia="Times New Roman"/>
          <w:color w:val="000000"/>
          <w:sz w:val="24"/>
          <w:szCs w:val="24"/>
        </w:rPr>
        <w:t>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</w:t>
      </w:r>
      <w:proofErr w:type="gramEnd"/>
      <w:r>
        <w:rPr>
          <w:rFonts w:eastAsia="Times New Roman"/>
          <w:color w:val="000000"/>
          <w:sz w:val="24"/>
          <w:szCs w:val="24"/>
        </w:rPr>
        <w:t>робных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анаэробных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бактерий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продуцирующих</w:t>
      </w:r>
      <w:r>
        <w:rPr>
          <w:color w:val="000000"/>
          <w:sz w:val="24"/>
          <w:szCs w:val="24"/>
        </w:rPr>
        <w:t xml:space="preserve"> b-</w:t>
      </w:r>
      <w:proofErr w:type="spellStart"/>
      <w:r>
        <w:rPr>
          <w:rFonts w:eastAsia="Times New Roman"/>
          <w:color w:val="000000"/>
          <w:sz w:val="24"/>
          <w:szCs w:val="24"/>
        </w:rPr>
        <w:t>лактамазы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энтерококков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микроорганизмов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играющих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ВЗОМТ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адекватно–широком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антибактериальной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амбулаторное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лабораторным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ультразвуковым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spellStart"/>
      <w:r>
        <w:rPr>
          <w:rFonts w:eastAsia="Times New Roman"/>
          <w:color w:val="000000"/>
          <w:sz w:val="24"/>
          <w:szCs w:val="24"/>
        </w:rPr>
        <w:t>Буянова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Щукина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Антибактериальная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гинекологии</w:t>
      </w:r>
      <w:r>
        <w:rPr>
          <w:color w:val="000000"/>
          <w:sz w:val="24"/>
          <w:szCs w:val="24"/>
        </w:rPr>
        <w:t xml:space="preserve">.// </w:t>
      </w:r>
      <w:proofErr w:type="spellStart"/>
      <w:r>
        <w:rPr>
          <w:rFonts w:eastAsia="Times New Roman"/>
          <w:color w:val="000000"/>
          <w:sz w:val="24"/>
          <w:szCs w:val="24"/>
        </w:rPr>
        <w:t>Фарматека</w:t>
      </w:r>
      <w:proofErr w:type="spellEnd"/>
      <w:r>
        <w:rPr>
          <w:color w:val="000000"/>
          <w:sz w:val="24"/>
          <w:szCs w:val="24"/>
        </w:rPr>
        <w:t xml:space="preserve">, 2002,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2 [65],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стр</w:t>
      </w:r>
      <w:proofErr w:type="spellEnd"/>
      <w:proofErr w:type="gramEnd"/>
      <w:r>
        <w:rPr>
          <w:color w:val="000000"/>
          <w:sz w:val="24"/>
          <w:szCs w:val="24"/>
        </w:rPr>
        <w:t xml:space="preserve"> 68 – 72.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rFonts w:eastAsia="Times New Roman"/>
          <w:color w:val="000000"/>
          <w:sz w:val="24"/>
          <w:szCs w:val="24"/>
        </w:rPr>
        <w:t>Краснопольский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., </w:t>
      </w:r>
      <w:proofErr w:type="spellStart"/>
      <w:r>
        <w:rPr>
          <w:rFonts w:eastAsia="Times New Roman"/>
          <w:color w:val="000000"/>
          <w:sz w:val="24"/>
          <w:szCs w:val="24"/>
        </w:rPr>
        <w:t>Буянова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Щукина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Гнойная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практическое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). –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.: «</w:t>
      </w:r>
      <w:proofErr w:type="spellStart"/>
      <w:r>
        <w:rPr>
          <w:rFonts w:eastAsia="Times New Roman"/>
          <w:color w:val="000000"/>
          <w:sz w:val="24"/>
          <w:szCs w:val="24"/>
        </w:rPr>
        <w:t>Медпресс</w:t>
      </w:r>
      <w:proofErr w:type="spellEnd"/>
      <w:r>
        <w:rPr>
          <w:rFonts w:eastAsia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, –2001. –282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3. </w:t>
      </w:r>
      <w:r>
        <w:rPr>
          <w:rFonts w:eastAsia="Times New Roman"/>
          <w:color w:val="000000"/>
          <w:sz w:val="24"/>
          <w:szCs w:val="24"/>
        </w:rPr>
        <w:t>Никонов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., </w:t>
      </w:r>
      <w:proofErr w:type="spellStart"/>
      <w:r>
        <w:rPr>
          <w:rFonts w:eastAsia="Times New Roman"/>
          <w:color w:val="000000"/>
          <w:sz w:val="24"/>
          <w:szCs w:val="24"/>
        </w:rPr>
        <w:t>Асцатурова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Инфекции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акушерстве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гинекологии</w:t>
      </w:r>
      <w:r>
        <w:rPr>
          <w:color w:val="000000"/>
          <w:sz w:val="24"/>
          <w:szCs w:val="24"/>
        </w:rPr>
        <w:t>//</w:t>
      </w:r>
      <w:r>
        <w:rPr>
          <w:rFonts w:eastAsia="Times New Roman"/>
          <w:color w:val="000000"/>
          <w:sz w:val="24"/>
          <w:szCs w:val="24"/>
        </w:rPr>
        <w:t>Практическое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диагностике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антимикробной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2003, </w:t>
      </w:r>
      <w:proofErr w:type="spellStart"/>
      <w:r>
        <w:rPr>
          <w:rFonts w:eastAsia="Times New Roman"/>
          <w:color w:val="000000"/>
          <w:sz w:val="24"/>
          <w:szCs w:val="24"/>
        </w:rPr>
        <w:t>изд</w:t>
      </w:r>
      <w:proofErr w:type="spellEnd"/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во</w:t>
      </w:r>
      <w:proofErr w:type="gramEnd"/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Боргес»</w:t>
      </w:r>
      <w:r>
        <w:rPr>
          <w:color w:val="000000"/>
          <w:sz w:val="24"/>
          <w:szCs w:val="24"/>
        </w:rPr>
        <w:t xml:space="preserve">, 55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rFonts w:eastAsia="Times New Roman"/>
          <w:color w:val="000000"/>
          <w:sz w:val="24"/>
          <w:szCs w:val="24"/>
        </w:rPr>
        <w:t>Савельева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Антонова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Острые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. –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.: </w:t>
      </w:r>
      <w:r>
        <w:rPr>
          <w:rFonts w:eastAsia="Times New Roman"/>
          <w:color w:val="000000"/>
          <w:sz w:val="24"/>
          <w:szCs w:val="24"/>
        </w:rPr>
        <w:t>Медицина</w:t>
      </w:r>
      <w:r>
        <w:rPr>
          <w:color w:val="000000"/>
          <w:sz w:val="24"/>
          <w:szCs w:val="24"/>
        </w:rPr>
        <w:t xml:space="preserve">, 1987, 160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rFonts w:eastAsia="Times New Roman"/>
          <w:color w:val="000000"/>
          <w:sz w:val="24"/>
          <w:szCs w:val="24"/>
        </w:rPr>
        <w:t>Яковлев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Яковлев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Краткий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справочник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антимикробной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химиотерапии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2002, </w:t>
      </w:r>
      <w:proofErr w:type="spellStart"/>
      <w:r>
        <w:rPr>
          <w:rFonts w:eastAsia="Times New Roman"/>
          <w:color w:val="000000"/>
          <w:sz w:val="24"/>
          <w:szCs w:val="24"/>
        </w:rPr>
        <w:t>изд</w:t>
      </w:r>
      <w:proofErr w:type="spellEnd"/>
      <w:r>
        <w:rPr>
          <w:rFonts w:eastAsia="Times New Roman"/>
          <w:color w:val="000000"/>
          <w:sz w:val="24"/>
          <w:szCs w:val="24"/>
        </w:rPr>
        <w:t>–во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Центр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биотехнологии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фармации»</w:t>
      </w:r>
      <w:r>
        <w:rPr>
          <w:color w:val="000000"/>
          <w:sz w:val="24"/>
          <w:szCs w:val="24"/>
        </w:rPr>
        <w:t xml:space="preserve">, 127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6. Dodson M.G. Antibiotic regimens for treating acute pelvic inflammatory disease.</w:t>
      </w:r>
      <w:proofErr w:type="gramEnd"/>
      <w:r>
        <w:rPr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An evaluation.</w:t>
      </w:r>
      <w:proofErr w:type="gramEnd"/>
      <w:r>
        <w:rPr>
          <w:color w:val="000000"/>
          <w:sz w:val="24"/>
          <w:szCs w:val="24"/>
          <w:lang w:val="en-US"/>
        </w:rPr>
        <w:t xml:space="preserve"> //J. </w:t>
      </w:r>
      <w:proofErr w:type="spellStart"/>
      <w:r>
        <w:rPr>
          <w:color w:val="000000"/>
          <w:sz w:val="24"/>
          <w:szCs w:val="24"/>
          <w:lang w:val="en-US"/>
        </w:rPr>
        <w:t>Reprod</w:t>
      </w:r>
      <w:proofErr w:type="spellEnd"/>
      <w:r>
        <w:rPr>
          <w:color w:val="000000"/>
          <w:sz w:val="24"/>
          <w:szCs w:val="24"/>
          <w:lang w:val="en-US"/>
        </w:rPr>
        <w:t xml:space="preserve">. Med., 1994; 39(4): 285–96.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7. Buchan H</w:t>
      </w:r>
      <w:proofErr w:type="gramStart"/>
      <w:r>
        <w:rPr>
          <w:color w:val="000000"/>
          <w:sz w:val="24"/>
          <w:szCs w:val="24"/>
          <w:lang w:val="en-US"/>
        </w:rPr>
        <w:t>. ,</w:t>
      </w:r>
      <w:proofErr w:type="gram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Vessey</w:t>
      </w:r>
      <w:proofErr w:type="spellEnd"/>
      <w:r>
        <w:rPr>
          <w:color w:val="000000"/>
          <w:sz w:val="24"/>
          <w:szCs w:val="24"/>
          <w:lang w:val="en-US"/>
        </w:rPr>
        <w:t xml:space="preserve"> M. , </w:t>
      </w:r>
      <w:proofErr w:type="spellStart"/>
      <w:r>
        <w:rPr>
          <w:color w:val="000000"/>
          <w:sz w:val="24"/>
          <w:szCs w:val="24"/>
          <w:lang w:val="en-US"/>
        </w:rPr>
        <w:t>Goldacre</w:t>
      </w:r>
      <w:proofErr w:type="spellEnd"/>
      <w:r>
        <w:rPr>
          <w:color w:val="000000"/>
          <w:sz w:val="24"/>
          <w:szCs w:val="24"/>
          <w:lang w:val="en-US"/>
        </w:rPr>
        <w:t xml:space="preserve"> M. , </w:t>
      </w:r>
      <w:proofErr w:type="spellStart"/>
      <w:r>
        <w:rPr>
          <w:color w:val="000000"/>
          <w:sz w:val="24"/>
          <w:szCs w:val="24"/>
          <w:lang w:val="en-US"/>
        </w:rPr>
        <w:t>Fairweather</w:t>
      </w:r>
      <w:proofErr w:type="spellEnd"/>
      <w:r>
        <w:rPr>
          <w:color w:val="000000"/>
          <w:sz w:val="24"/>
          <w:szCs w:val="24"/>
          <w:lang w:val="en-US"/>
        </w:rPr>
        <w:t xml:space="preserve"> J. Morbidity following pelvic inflammatory disease // Br. J. Obstet. </w:t>
      </w:r>
      <w:proofErr w:type="spellStart"/>
      <w:r>
        <w:rPr>
          <w:color w:val="000000"/>
          <w:sz w:val="24"/>
          <w:szCs w:val="24"/>
          <w:lang w:val="en-US"/>
        </w:rPr>
        <w:t>Gynaecol</w:t>
      </w:r>
      <w:proofErr w:type="spellEnd"/>
      <w:r>
        <w:rPr>
          <w:color w:val="000000"/>
          <w:sz w:val="24"/>
          <w:szCs w:val="24"/>
          <w:lang w:val="en-US"/>
        </w:rPr>
        <w:t>. – 1993. – Jun. – V. 100. – N 6</w:t>
      </w:r>
      <w:proofErr w:type="gramStart"/>
      <w:r>
        <w:rPr>
          <w:color w:val="000000"/>
          <w:sz w:val="24"/>
          <w:szCs w:val="24"/>
          <w:lang w:val="en-US"/>
        </w:rPr>
        <w:t>.–</w:t>
      </w:r>
      <w:proofErr w:type="gramEnd"/>
      <w:r>
        <w:rPr>
          <w:color w:val="000000"/>
          <w:sz w:val="24"/>
          <w:szCs w:val="24"/>
          <w:lang w:val="en-US"/>
        </w:rPr>
        <w:t xml:space="preserve"> P. 558–562. </w:t>
      </w:r>
    </w:p>
    <w:p w:rsidR="00F96555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8. </w:t>
      </w:r>
      <w:proofErr w:type="spellStart"/>
      <w:r>
        <w:rPr>
          <w:color w:val="000000"/>
          <w:sz w:val="24"/>
          <w:szCs w:val="24"/>
          <w:lang w:val="en-US"/>
        </w:rPr>
        <w:t>Velebil</w:t>
      </w:r>
      <w:proofErr w:type="spellEnd"/>
      <w:r>
        <w:rPr>
          <w:color w:val="000000"/>
          <w:sz w:val="24"/>
          <w:szCs w:val="24"/>
          <w:lang w:val="en-US"/>
        </w:rPr>
        <w:t xml:space="preserve"> P, </w:t>
      </w:r>
      <w:proofErr w:type="spellStart"/>
      <w:r>
        <w:rPr>
          <w:color w:val="000000"/>
          <w:sz w:val="24"/>
          <w:szCs w:val="24"/>
          <w:lang w:val="en-US"/>
        </w:rPr>
        <w:t>Wingo</w:t>
      </w:r>
      <w:proofErr w:type="spellEnd"/>
      <w:r>
        <w:rPr>
          <w:color w:val="000000"/>
          <w:sz w:val="24"/>
          <w:szCs w:val="24"/>
          <w:lang w:val="en-US"/>
        </w:rPr>
        <w:t xml:space="preserve"> PA, Xia Z, Wilcox LS, Peterson HB. </w:t>
      </w:r>
      <w:proofErr w:type="gramStart"/>
      <w:r>
        <w:rPr>
          <w:color w:val="000000"/>
          <w:sz w:val="24"/>
          <w:szCs w:val="24"/>
          <w:lang w:val="en-US"/>
        </w:rPr>
        <w:t>Rate of hospitalization for gynecologic disorders among reproductive–age women in the United States.</w:t>
      </w:r>
      <w:proofErr w:type="gramEnd"/>
      <w:r>
        <w:rPr>
          <w:color w:val="000000"/>
          <w:sz w:val="24"/>
          <w:szCs w:val="24"/>
          <w:lang w:val="en-US"/>
        </w:rPr>
        <w:t xml:space="preserve"> // J. Obstet. Gynecol. 1995, V. 86</w:t>
      </w:r>
      <w:proofErr w:type="gramStart"/>
      <w:r>
        <w:rPr>
          <w:color w:val="000000"/>
          <w:sz w:val="24"/>
          <w:szCs w:val="24"/>
          <w:lang w:val="en-US"/>
        </w:rPr>
        <w:t>.–</w:t>
      </w:r>
      <w:proofErr w:type="gramEnd"/>
      <w:r>
        <w:rPr>
          <w:color w:val="000000"/>
          <w:sz w:val="24"/>
          <w:szCs w:val="24"/>
          <w:lang w:val="en-US"/>
        </w:rPr>
        <w:t xml:space="preserve"> (5).– P. 764–769. </w:t>
      </w:r>
    </w:p>
    <w:p w:rsidR="002B769F" w:rsidRPr="00612500" w:rsidRDefault="002B76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9. </w:t>
      </w:r>
      <w:proofErr w:type="spellStart"/>
      <w:r>
        <w:rPr>
          <w:color w:val="000000"/>
          <w:sz w:val="24"/>
          <w:szCs w:val="24"/>
          <w:lang w:val="en-US"/>
        </w:rPr>
        <w:t>Wolner</w:t>
      </w:r>
      <w:proofErr w:type="spellEnd"/>
      <w:r>
        <w:rPr>
          <w:color w:val="000000"/>
          <w:sz w:val="24"/>
          <w:szCs w:val="24"/>
          <w:lang w:val="en-US"/>
        </w:rPr>
        <w:t>–</w:t>
      </w:r>
      <w:proofErr w:type="spellStart"/>
      <w:r>
        <w:rPr>
          <w:color w:val="000000"/>
          <w:sz w:val="24"/>
          <w:szCs w:val="24"/>
          <w:lang w:val="en-US"/>
        </w:rPr>
        <w:t>Hanssen</w:t>
      </w:r>
      <w:proofErr w:type="spellEnd"/>
      <w:r>
        <w:rPr>
          <w:color w:val="000000"/>
          <w:sz w:val="24"/>
          <w:szCs w:val="24"/>
          <w:lang w:val="en-US"/>
        </w:rPr>
        <w:t xml:space="preserve"> P, </w:t>
      </w:r>
      <w:proofErr w:type="spellStart"/>
      <w:r>
        <w:rPr>
          <w:color w:val="000000"/>
          <w:sz w:val="24"/>
          <w:szCs w:val="24"/>
          <w:lang w:val="en-US"/>
        </w:rPr>
        <w:t>Kiviat</w:t>
      </w:r>
      <w:proofErr w:type="spellEnd"/>
      <w:r>
        <w:rPr>
          <w:color w:val="000000"/>
          <w:sz w:val="24"/>
          <w:szCs w:val="24"/>
          <w:lang w:val="en-US"/>
        </w:rPr>
        <w:t xml:space="preserve"> NB, Holmes KK. Atypical pelvic inflammatory disease: </w:t>
      </w:r>
      <w:proofErr w:type="spellStart"/>
      <w:r>
        <w:rPr>
          <w:color w:val="000000"/>
          <w:sz w:val="24"/>
          <w:szCs w:val="24"/>
          <w:lang w:val="en-US"/>
        </w:rPr>
        <w:t>subacute</w:t>
      </w:r>
      <w:proofErr w:type="spellEnd"/>
      <w:r>
        <w:rPr>
          <w:color w:val="000000"/>
          <w:sz w:val="24"/>
          <w:szCs w:val="24"/>
          <w:lang w:val="en-US"/>
        </w:rPr>
        <w:t xml:space="preserve">, chronic, or subclinical upper genital tract infection in women. In: Holmes KK, March P–A, Sparking PF, eds. Sexually Transmitted Diseases. 2nd </w:t>
      </w:r>
      <w:proofErr w:type="gramStart"/>
      <w:r>
        <w:rPr>
          <w:color w:val="000000"/>
          <w:sz w:val="24"/>
          <w:szCs w:val="24"/>
          <w:lang w:val="en-US"/>
        </w:rPr>
        <w:t>ed</w:t>
      </w:r>
      <w:proofErr w:type="gramEnd"/>
      <w:r>
        <w:rPr>
          <w:color w:val="000000"/>
          <w:sz w:val="24"/>
          <w:szCs w:val="24"/>
          <w:lang w:val="en-US"/>
        </w:rPr>
        <w:t xml:space="preserve">. New York: McGraw–Hill, 1990. </w:t>
      </w:r>
      <w:r w:rsidRPr="00612500">
        <w:rPr>
          <w:color w:val="000000"/>
          <w:sz w:val="24"/>
          <w:szCs w:val="24"/>
          <w:lang w:val="en-US"/>
        </w:rPr>
        <w:t xml:space="preserve">P. 614–620. </w:t>
      </w:r>
    </w:p>
    <w:sectPr w:rsidR="002B769F" w:rsidRPr="006125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FA"/>
    <w:rsid w:val="002B769F"/>
    <w:rsid w:val="00612500"/>
    <w:rsid w:val="008E1FFA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2083</Words>
  <Characters>11876</Characters>
  <Application>Microsoft Office Word</Application>
  <DocSecurity>0</DocSecurity>
  <Lines>98</Lines>
  <Paragraphs>27</Paragraphs>
  <ScaleCrop>false</ScaleCrop>
  <Company>PERSONAL COMPUTERS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Амоксиклава® 1000 мг + Рокситромицин Лек при лечении воспалительных заболеваний органов малого таза</dc:title>
  <dc:creator>USER</dc:creator>
  <cp:lastModifiedBy>Igor</cp:lastModifiedBy>
  <cp:revision>3</cp:revision>
  <dcterms:created xsi:type="dcterms:W3CDTF">2024-07-21T15:09:00Z</dcterms:created>
  <dcterms:modified xsi:type="dcterms:W3CDTF">2024-07-21T15:18:00Z</dcterms:modified>
</cp:coreProperties>
</file>