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A014E7"/>
    <w:p w:rsidR="00000000" w:rsidRDefault="00A014E7"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тем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:   </w:t>
      </w:r>
      <w:r>
        <w:rPr>
          <w:sz w:val="28"/>
          <w:szCs w:val="28"/>
        </w:rPr>
        <w:t xml:space="preserve"> Эпидемический паротит</w:t>
      </w:r>
      <w:r>
        <w:rPr>
          <w:sz w:val="28"/>
          <w:szCs w:val="28"/>
        </w:rPr>
        <w:t>.</w:t>
      </w:r>
    </w:p>
    <w:p w:rsidR="00000000" w:rsidRDefault="00A014E7">
      <w:pPr>
        <w:pStyle w:val="p489"/>
        <w:spacing w:before="0" w:after="0" w:line="240" w:lineRule="atLeast"/>
        <w:ind w:firstLine="300"/>
        <w:jc w:val="both"/>
      </w:pPr>
    </w:p>
    <w:p w:rsidR="00000000" w:rsidRDefault="00A014E7">
      <w:pPr>
        <w:pStyle w:val="p489"/>
        <w:spacing w:before="0" w:after="0" w:line="240" w:lineRule="atLeast"/>
        <w:ind w:firstLine="300"/>
        <w:jc w:val="both"/>
      </w:pPr>
      <w:r>
        <w:rPr>
          <w:color w:val="000000"/>
        </w:rPr>
        <w:t>Эпидемический паротит — острое вирусное заболевание с аэрозольным меха</w:t>
      </w:r>
      <w:r>
        <w:rPr>
          <w:color w:val="000000"/>
        </w:rPr>
        <w:softHyphen/>
        <w:t>низмом передачи, сопровождающееся интоксикацией и поражением железистых органов, преимущественно слюнных желёз, а также нерв</w:t>
      </w:r>
      <w:r>
        <w:rPr>
          <w:color w:val="000000"/>
        </w:rPr>
        <w:t>ной системы.</w:t>
      </w:r>
    </w:p>
    <w:p w:rsidR="00000000" w:rsidRDefault="00A014E7">
      <w:pPr>
        <w:pStyle w:val="p1095"/>
        <w:spacing w:before="225" w:after="0" w:line="300" w:lineRule="atLeast"/>
      </w:pPr>
      <w:r>
        <w:rPr>
          <w:b/>
          <w:bCs/>
          <w:color w:val="000000"/>
        </w:rPr>
        <w:t>Краткие исторические сведения</w:t>
      </w:r>
    </w:p>
    <w:p w:rsidR="00000000" w:rsidRDefault="00A014E7">
      <w:pPr>
        <w:pStyle w:val="p2235"/>
        <w:spacing w:before="135" w:after="0" w:line="225" w:lineRule="atLeast"/>
        <w:ind w:firstLine="285"/>
        <w:jc w:val="both"/>
      </w:pPr>
      <w:r>
        <w:rPr>
          <w:color w:val="000000"/>
        </w:rPr>
        <w:t>Заболевание впервые описано ещё Гиппократом и выделено им в самостоя</w:t>
      </w:r>
      <w:r>
        <w:rPr>
          <w:color w:val="000000"/>
        </w:rPr>
        <w:softHyphen/>
        <w:t>тельную нозологическую форму. Частые поражения ЦНС и орхит при эпидеми</w:t>
      </w:r>
      <w:r>
        <w:rPr>
          <w:color w:val="000000"/>
        </w:rPr>
        <w:softHyphen/>
        <w:t>ческом паротите отмечены Гамильтоном (1790).</w:t>
      </w:r>
    </w:p>
    <w:p w:rsidR="00000000" w:rsidRDefault="00A014E7">
      <w:pPr>
        <w:pStyle w:val="p2229"/>
        <w:spacing w:before="45" w:after="0" w:line="240" w:lineRule="atLeast"/>
        <w:ind w:firstLine="300"/>
        <w:jc w:val="both"/>
      </w:pPr>
      <w:r>
        <w:rPr>
          <w:color w:val="000000"/>
        </w:rPr>
        <w:t>Вирус паротита из крови боль</w:t>
      </w:r>
      <w:r>
        <w:rPr>
          <w:color w:val="000000"/>
        </w:rPr>
        <w:t>ного впервые выделил Л. Килэм (1949), из ткани яичек при их биопсии — Б. Бьёрват (1973). Фундаментальные исследования в об</w:t>
      </w:r>
      <w:r>
        <w:rPr>
          <w:color w:val="000000"/>
        </w:rPr>
        <w:softHyphen/>
        <w:t>ласти этого заболевания проведены отечественными учёными И.В. Троицким, Н.Ф. Филатовым, А.Д. Романовым, А.А. Смородинцевым, А.К. Шубл</w:t>
      </w:r>
      <w:r>
        <w:rPr>
          <w:color w:val="000000"/>
        </w:rPr>
        <w:t>адзе и др.</w:t>
      </w:r>
    </w:p>
    <w:p w:rsidR="00000000" w:rsidRDefault="00A014E7">
      <w:pPr>
        <w:pStyle w:val="p2140"/>
        <w:spacing w:before="315" w:after="0" w:line="300" w:lineRule="atLeast"/>
      </w:pPr>
      <w:r>
        <w:rPr>
          <w:b/>
          <w:bCs/>
          <w:color w:val="000000"/>
        </w:rPr>
        <w:t>Этиология</w:t>
      </w:r>
    </w:p>
    <w:p w:rsidR="00000000" w:rsidRDefault="00A014E7">
      <w:pPr>
        <w:pStyle w:val="p1775"/>
        <w:spacing w:before="165" w:after="0" w:line="240" w:lineRule="atLeast"/>
        <w:jc w:val="both"/>
      </w:pPr>
      <w:r>
        <w:rPr>
          <w:color w:val="000000"/>
        </w:rPr>
        <w:t>Возбудитель—РНК-геномный вирус рода </w:t>
      </w:r>
      <w:r>
        <w:rPr>
          <w:rStyle w:val="ft31"/>
          <w:b/>
          <w:bCs/>
          <w:i/>
          <w:iCs/>
          <w:color w:val="000000"/>
        </w:rPr>
        <w:t>Paramyxovirus </w:t>
      </w:r>
      <w:r>
        <w:rPr>
          <w:color w:val="000000"/>
        </w:rPr>
        <w:t>семейства </w:t>
      </w:r>
      <w:r>
        <w:rPr>
          <w:rStyle w:val="ft31"/>
          <w:b/>
          <w:bCs/>
          <w:i/>
          <w:iCs/>
          <w:color w:val="000000"/>
        </w:rPr>
        <w:t>Paramyxoviridae. </w:t>
      </w:r>
      <w:r>
        <w:rPr>
          <w:color w:val="000000"/>
        </w:rPr>
        <w:t>Все известные штаммы принадлежат к одному серотипу. У вирусов выделяют V-Ar и S-Ar. Вирус патогенен только для человека, хотя существуют подтверждён</w:t>
      </w:r>
      <w:r>
        <w:rPr>
          <w:color w:val="000000"/>
        </w:rPr>
        <w:softHyphen/>
        <w:t>ные случа</w:t>
      </w:r>
      <w:r>
        <w:rPr>
          <w:color w:val="000000"/>
        </w:rPr>
        <w:t>и заболевания собак, заразившихся от хозяев; также возможно экспери</w:t>
      </w:r>
      <w:r>
        <w:rPr>
          <w:color w:val="000000"/>
        </w:rPr>
        <w:softHyphen/>
        <w:t>ментальное заражение вирусом обезьян. Выделяется со слюной и мочой, его мож</w:t>
      </w:r>
      <w:r>
        <w:rPr>
          <w:color w:val="000000"/>
        </w:rPr>
        <w:softHyphen/>
        <w:t>но обнаружить в крови, цереброспинальной жидкости, мозге, грудном молоке и др. Вирус нестоек во внешней среде: б</w:t>
      </w:r>
      <w:r>
        <w:rPr>
          <w:color w:val="000000"/>
        </w:rPr>
        <w:t>ыстро инактивируется под действием высокой температуры, ультрафиолетовых лучей, дезинфицирующих растворов, при высуши</w:t>
      </w:r>
      <w:r>
        <w:rPr>
          <w:color w:val="000000"/>
        </w:rPr>
        <w:softHyphen/>
        <w:t>вании. При низкой температуре вирус может сохранять жизнеспособность до 1 года.</w:t>
      </w:r>
    </w:p>
    <w:p w:rsidR="00000000" w:rsidRDefault="00A014E7">
      <w:pPr>
        <w:pStyle w:val="p1636"/>
        <w:spacing w:before="555" w:after="0" w:line="300" w:lineRule="atLeast"/>
      </w:pPr>
      <w:r>
        <w:rPr>
          <w:b/>
          <w:bCs/>
          <w:color w:val="000000"/>
        </w:rPr>
        <w:t>Эпидемиология</w:t>
      </w:r>
    </w:p>
    <w:p w:rsidR="00000000" w:rsidRDefault="00A014E7">
      <w:pPr>
        <w:pStyle w:val="p1599"/>
        <w:spacing w:before="165" w:after="0" w:line="240" w:lineRule="atLeast"/>
        <w:ind w:firstLine="285"/>
        <w:jc w:val="both"/>
      </w:pPr>
      <w:r>
        <w:rPr>
          <w:rStyle w:val="ft31"/>
          <w:b/>
          <w:bCs/>
          <w:i/>
          <w:iCs/>
          <w:color w:val="000000"/>
        </w:rPr>
        <w:t>Резервуар и источник инфекции — </w:t>
      </w:r>
      <w:r>
        <w:rPr>
          <w:color w:val="000000"/>
        </w:rPr>
        <w:t>человек с ма</w:t>
      </w:r>
      <w:r>
        <w:rPr>
          <w:color w:val="000000"/>
        </w:rPr>
        <w:t>нифестной или субклинической формой паротита. Больной становится заразным за 1—2 дня до появления клини</w:t>
      </w:r>
      <w:r>
        <w:rPr>
          <w:color w:val="000000"/>
        </w:rPr>
        <w:softHyphen/>
        <w:t>ческих симптомов и выделяет вирус первые 5—7 дней болезни. Важную эпидеми</w:t>
      </w:r>
      <w:r>
        <w:rPr>
          <w:color w:val="000000"/>
        </w:rPr>
        <w:softHyphen/>
        <w:t>ологическую роль играют больные не только с типичными, но и со стёртыми и бесс</w:t>
      </w:r>
      <w:r>
        <w:rPr>
          <w:color w:val="000000"/>
        </w:rPr>
        <w:t>имптомными формами заболевания, составляющими 25—50% всех случаев инфекции.</w:t>
      </w:r>
    </w:p>
    <w:p w:rsidR="00000000" w:rsidRDefault="00A014E7">
      <w:pPr>
        <w:pStyle w:val="p1202"/>
        <w:spacing w:before="240" w:after="0" w:line="240" w:lineRule="atLeast"/>
        <w:ind w:firstLine="285"/>
        <w:jc w:val="both"/>
      </w:pPr>
      <w:r>
        <w:rPr>
          <w:rStyle w:val="ft31"/>
          <w:b/>
          <w:bCs/>
          <w:i/>
          <w:iCs/>
          <w:color w:val="000000"/>
        </w:rPr>
        <w:t>Механизм передачи </w:t>
      </w:r>
      <w:r>
        <w:rPr>
          <w:color w:val="000000"/>
        </w:rPr>
        <w:t>— аэрозольный, </w:t>
      </w:r>
      <w:r>
        <w:rPr>
          <w:rStyle w:val="ft31"/>
          <w:b/>
          <w:bCs/>
          <w:i/>
          <w:iCs/>
          <w:color w:val="000000"/>
        </w:rPr>
        <w:t>путь передачи </w:t>
      </w:r>
      <w:r>
        <w:rPr>
          <w:color w:val="000000"/>
        </w:rPr>
        <w:t>— воздушно-капельный, хотя нельзя полностью исключить возможность передачи возбудителя через предметы (игрушки, посуду и т.д.), загря</w:t>
      </w:r>
      <w:r>
        <w:rPr>
          <w:color w:val="000000"/>
        </w:rPr>
        <w:t>знённые слюной больного незадолго до контакта со здоровым. Возможна и трансплацентарная передача возбудителя.</w:t>
      </w:r>
    </w:p>
    <w:p w:rsidR="00000000" w:rsidRDefault="00A014E7">
      <w:pPr>
        <w:pStyle w:val="p839"/>
        <w:spacing w:before="0" w:after="0" w:line="240" w:lineRule="atLeast"/>
        <w:ind w:firstLine="285"/>
        <w:jc w:val="both"/>
      </w:pPr>
      <w:r>
        <w:rPr>
          <w:rStyle w:val="ft31"/>
          <w:b/>
          <w:bCs/>
          <w:i/>
          <w:iCs/>
          <w:color w:val="000000"/>
        </w:rPr>
        <w:t>Естественная восприимчивость людей </w:t>
      </w:r>
      <w:r>
        <w:rPr>
          <w:color w:val="000000"/>
        </w:rPr>
        <w:t>высокая. Дети до года болеют нечасто вследствие редких контактов с больными и наличия материнских AT. Постин</w:t>
      </w:r>
      <w:r>
        <w:rPr>
          <w:color w:val="000000"/>
        </w:rPr>
        <w:softHyphen/>
        <w:t>фе</w:t>
      </w:r>
      <w:r>
        <w:rPr>
          <w:color w:val="000000"/>
        </w:rPr>
        <w:t>кционный иммунитет длительный и стойкий.</w:t>
      </w:r>
    </w:p>
    <w:p w:rsidR="00000000" w:rsidRDefault="00A014E7">
      <w:pPr>
        <w:pStyle w:val="p1442"/>
        <w:spacing w:before="0" w:after="0" w:line="240" w:lineRule="atLeast"/>
        <w:ind w:firstLine="300"/>
        <w:jc w:val="both"/>
      </w:pPr>
      <w:r>
        <w:rPr>
          <w:rStyle w:val="ft31"/>
          <w:b/>
          <w:bCs/>
          <w:i/>
          <w:iCs/>
          <w:color w:val="000000"/>
        </w:rPr>
        <w:t>Основные эпидемиологические признаки. </w:t>
      </w:r>
      <w:r>
        <w:rPr>
          <w:color w:val="000000"/>
        </w:rPr>
        <w:t>Болезнь распространена повсеместно. Отмечают периодические подъёмы заболеваемости с интервалом 7-8 лет. В довакцинальный период заболеваемость регистрировали преимущественно сре</w:t>
      </w:r>
      <w:r>
        <w:rPr>
          <w:color w:val="000000"/>
        </w:rPr>
        <w:t>ди детей раннего возраста (3—6 лет). В последние годы отмечен, как и при кори, сдвиг заболеваемости на более старшие возрастные группы населения (5—15 лет). Лица мужского пола болеют паротитом чаще, чем женщины. Эпидемические вспышки можно наблюдать в любо</w:t>
      </w:r>
      <w:r>
        <w:rPr>
          <w:color w:val="000000"/>
        </w:rPr>
        <w:t>е время года, но чаще всего повышение заболеваемости приходится на осень и зиму, т.е. в период скученности детей и подростков в зак</w:t>
      </w:r>
      <w:r>
        <w:rPr>
          <w:color w:val="000000"/>
        </w:rPr>
        <w:softHyphen/>
        <w:t>рытых помещениях.</w:t>
      </w:r>
    </w:p>
    <w:p w:rsidR="00000000" w:rsidRDefault="00A014E7">
      <w:pPr>
        <w:pStyle w:val="p171"/>
        <w:spacing w:before="495" w:after="0" w:line="225" w:lineRule="atLeast"/>
        <w:ind w:firstLine="285"/>
        <w:jc w:val="both"/>
      </w:pPr>
      <w:r>
        <w:rPr>
          <w:color w:val="000000"/>
        </w:rPr>
        <w:lastRenderedPageBreak/>
        <w:t>Выборочные серологические обследования показали, что 33,9—42,9% взросло</w:t>
      </w:r>
      <w:r>
        <w:rPr>
          <w:color w:val="000000"/>
        </w:rPr>
        <w:softHyphen/>
        <w:t>го населения восприимчиво к возбуд</w:t>
      </w:r>
      <w:r>
        <w:rPr>
          <w:color w:val="000000"/>
        </w:rPr>
        <w:t>ителю. В разных возрастных группах удель</w:t>
      </w:r>
      <w:r>
        <w:rPr>
          <w:color w:val="000000"/>
        </w:rPr>
        <w:softHyphen/>
        <w:t>ный вес серонегативных лиц варьирует в среднем от 25,6% среди привитых детей 3 лет до 33,1% среди 30-40-летних людей. Среди взрослого населения повышенную заболеваемость регистрируют в закрытых и полузакрытых коллек</w:t>
      </w:r>
      <w:r>
        <w:rPr>
          <w:color w:val="000000"/>
        </w:rPr>
        <w:t>тивах (казармах, общежитиях и т.д.). Заболеваемость среди новобранцев всегда выше, чем среди ста</w:t>
      </w:r>
      <w:r>
        <w:rPr>
          <w:color w:val="000000"/>
        </w:rPr>
        <w:softHyphen/>
        <w:t>рослужащих. Для эпидемического паротита характерна выраженная очаговость: почти в четверти детских учреждений регистрируют очаги с 15 случаями заболева</w:t>
      </w:r>
      <w:r>
        <w:rPr>
          <w:color w:val="000000"/>
        </w:rPr>
        <w:softHyphen/>
        <w:t>ния и б</w:t>
      </w:r>
      <w:r>
        <w:rPr>
          <w:color w:val="000000"/>
        </w:rPr>
        <w:t>олее. В детских учреждениях вспышки протекают длительно, заболеваемость волнообразная из-за большой продолжительности инкубационного периода и не</w:t>
      </w:r>
      <w:r>
        <w:rPr>
          <w:color w:val="000000"/>
        </w:rPr>
        <w:softHyphen/>
        <w:t xml:space="preserve"> выявления части больных со стёртой клинической картиной. Снижение заболева</w:t>
      </w:r>
      <w:r>
        <w:rPr>
          <w:color w:val="000000"/>
        </w:rPr>
        <w:softHyphen/>
        <w:t>емости эпидемическим паротитом в п</w:t>
      </w:r>
      <w:r>
        <w:rPr>
          <w:color w:val="000000"/>
        </w:rPr>
        <w:t>оследние годы на большинстве территорий страны обусловлено повышением охвата прививками детей до года. В 2000 г. забо</w:t>
      </w:r>
      <w:r>
        <w:rPr>
          <w:color w:val="000000"/>
        </w:rPr>
        <w:softHyphen/>
        <w:t>леваемость в России составила 26,4, в 1999 г. — 45,6 на 100 000 населения. В Москве эти показатели соответственно составили 16,6 и 45,4. В</w:t>
      </w:r>
      <w:r>
        <w:rPr>
          <w:color w:val="000000"/>
        </w:rPr>
        <w:t>месте с тем более чем в де</w:t>
      </w:r>
      <w:r>
        <w:rPr>
          <w:color w:val="000000"/>
        </w:rPr>
        <w:softHyphen/>
        <w:t>сяти субъектах Российской Федерации охват прививками детей до года не превы</w:t>
      </w:r>
      <w:r>
        <w:rPr>
          <w:color w:val="000000"/>
        </w:rPr>
        <w:softHyphen/>
        <w:t>сил 75%. В этих регионах заболеваемость в 5—6 раз выше, чем в среднем по стране.</w:t>
      </w:r>
    </w:p>
    <w:p w:rsidR="00000000" w:rsidRDefault="00A014E7">
      <w:pPr>
        <w:pStyle w:val="p2237"/>
        <w:spacing w:before="780" w:after="0" w:line="300" w:lineRule="atLeast"/>
      </w:pPr>
      <w:r>
        <w:rPr>
          <w:b/>
          <w:bCs/>
          <w:color w:val="000000"/>
        </w:rPr>
        <w:t>Патогенез</w:t>
      </w:r>
    </w:p>
    <w:p w:rsidR="00000000" w:rsidRDefault="00A014E7">
      <w:pPr>
        <w:pStyle w:val="p2238"/>
        <w:spacing w:before="165" w:after="0" w:line="240" w:lineRule="atLeast"/>
        <w:ind w:firstLine="315"/>
        <w:jc w:val="both"/>
      </w:pPr>
      <w:r>
        <w:rPr>
          <w:color w:val="000000"/>
        </w:rPr>
        <w:t>Воротами инфекции служат слизистые оболочки верхних дыхательны</w:t>
      </w:r>
      <w:r>
        <w:rPr>
          <w:color w:val="000000"/>
        </w:rPr>
        <w:t>х путей и, возможно, ротовой полости, а также конъюнктива. После репродукции возбу</w:t>
      </w:r>
      <w:r>
        <w:rPr>
          <w:color w:val="000000"/>
        </w:rPr>
        <w:softHyphen/>
        <w:t xml:space="preserve">дителя в клетках слизистых оболочек развивается вирусемия. Гематогенная диссеминация и тропность вируса к интерстициальной ткани железистых органов приводят к его осаждению </w:t>
      </w:r>
      <w:r>
        <w:rPr>
          <w:color w:val="000000"/>
        </w:rPr>
        <w:t>в слюнных железах, яичках, поджелудочной железе, нервной системе. В указанных органах и тканях вирус также репродуцируется, следствием чего становятся воспалительные реакции в них (прежде всего паротит; также возможны орхит, панкреатит, серозный менингит и</w:t>
      </w:r>
      <w:r>
        <w:rPr>
          <w:color w:val="000000"/>
        </w:rPr>
        <w:t xml:space="preserve"> менингоэнцефалит). Морфологические изменения и клиническая манифестация процесса в первую очередь касаются слюнных желёз, наиболее близко находящихся к входным воро</w:t>
      </w:r>
      <w:r>
        <w:rPr>
          <w:color w:val="000000"/>
        </w:rPr>
        <w:softHyphen/>
        <w:t xml:space="preserve"> там инфекции и располагающих наиболее благоприятными условиями для реплика</w:t>
      </w:r>
      <w:r>
        <w:rPr>
          <w:color w:val="000000"/>
        </w:rPr>
        <w:softHyphen/>
        <w:t>ции вируса. Ра</w:t>
      </w:r>
      <w:r>
        <w:rPr>
          <w:color w:val="000000"/>
        </w:rPr>
        <w:t>звиваются отёк, лимфогистиоцитарная инфильтрация соединитель</w:t>
      </w:r>
      <w:r>
        <w:rPr>
          <w:color w:val="000000"/>
        </w:rPr>
        <w:softHyphen/>
        <w:t xml:space="preserve"> ной ткани, обтурация канальцев, иногда кровоизлияния и (весьма редко) некроз железистого эпителия. Поскольку в других железистых органах возбудитель на</w:t>
      </w:r>
      <w:r>
        <w:rPr>
          <w:color w:val="000000"/>
        </w:rPr>
        <w:softHyphen/>
        <w:t xml:space="preserve"> ходит менее благоприятные условия для реп</w:t>
      </w:r>
      <w:r>
        <w:rPr>
          <w:color w:val="000000"/>
        </w:rPr>
        <w:t>родукции, их поражение развивается не всегда и отстаёт по времени на несколько дней от начала клинических прояв</w:t>
      </w:r>
      <w:r>
        <w:rPr>
          <w:color w:val="000000"/>
        </w:rPr>
        <w:softHyphen/>
        <w:t>лений паротита. Следствием возможных тяжёлых осложнений со стороны яичек и поджелудочной железы может быть атрофия этих органов. Иногда развиваю</w:t>
      </w:r>
      <w:r>
        <w:rPr>
          <w:color w:val="000000"/>
        </w:rPr>
        <w:t>тся острый гломерулонефрит, серозное воспаление щитовидной и вилочковой желёз.</w:t>
      </w:r>
    </w:p>
    <w:p w:rsidR="00000000" w:rsidRDefault="00A014E7">
      <w:pPr>
        <w:pStyle w:val="p1421"/>
        <w:spacing w:before="480" w:after="0" w:line="240" w:lineRule="atLeast"/>
        <w:ind w:firstLine="300"/>
        <w:jc w:val="both"/>
      </w:pPr>
      <w:r>
        <w:rPr>
          <w:color w:val="000000"/>
        </w:rPr>
        <w:t>Установлено, что в поражениях ЦНС, периферической нервной системы и поджелудочной железы играют определённую роль иммунные механизмы: умень</w:t>
      </w:r>
      <w:r>
        <w:rPr>
          <w:color w:val="000000"/>
        </w:rPr>
        <w:softHyphen/>
        <w:t>шение количества Т-клеток, слабый пер</w:t>
      </w:r>
      <w:r>
        <w:rPr>
          <w:color w:val="000000"/>
        </w:rPr>
        <w:t>вичный иммунный ответ с низким тит</w:t>
      </w:r>
      <w:r>
        <w:rPr>
          <w:color w:val="000000"/>
        </w:rPr>
        <w:softHyphen/>
        <w:t>ром IgM, снижение содержания IgA и IgG.</w:t>
      </w:r>
    </w:p>
    <w:p w:rsidR="00000000" w:rsidRDefault="00A014E7">
      <w:pPr>
        <w:pStyle w:val="p1952"/>
        <w:spacing w:before="240" w:after="0" w:line="225" w:lineRule="atLeast"/>
        <w:ind w:firstLine="285"/>
        <w:jc w:val="both"/>
      </w:pPr>
      <w:r>
        <w:rPr>
          <w:color w:val="000000"/>
        </w:rPr>
        <w:t>В механизмах нейтрализации вируса существенная роль принадлежит вирулицидным AT, подавляющим активность вируса и его проникновение в клетки.</w:t>
      </w:r>
    </w:p>
    <w:p w:rsidR="00000000" w:rsidRDefault="00A014E7">
      <w:pPr>
        <w:pStyle w:val="p1952"/>
        <w:spacing w:before="240" w:after="0" w:line="225" w:lineRule="atLeast"/>
        <w:ind w:firstLine="285"/>
        <w:jc w:val="both"/>
        <w:rPr>
          <w:color w:val="000000"/>
        </w:rPr>
      </w:pPr>
    </w:p>
    <w:p w:rsidR="00000000" w:rsidRDefault="00A014E7">
      <w:pPr>
        <w:pStyle w:val="p1886"/>
        <w:spacing w:before="345" w:after="0" w:line="300" w:lineRule="atLeast"/>
      </w:pPr>
      <w:r>
        <w:rPr>
          <w:b/>
          <w:bCs/>
          <w:color w:val="000000"/>
        </w:rPr>
        <w:lastRenderedPageBreak/>
        <w:t>Клиническая картина</w:t>
      </w:r>
    </w:p>
    <w:p w:rsidR="00000000" w:rsidRDefault="00A014E7">
      <w:pPr>
        <w:pStyle w:val="p2218"/>
        <w:spacing w:before="150" w:after="0" w:line="210" w:lineRule="atLeast"/>
        <w:ind w:firstLine="300"/>
        <w:jc w:val="both"/>
      </w:pPr>
      <w:r>
        <w:rPr>
          <w:rStyle w:val="ft16"/>
          <w:b/>
          <w:bCs/>
          <w:i/>
          <w:iCs/>
          <w:color w:val="000000"/>
        </w:rPr>
        <w:t>Инкубационный перио</w:t>
      </w:r>
      <w:r>
        <w:rPr>
          <w:rStyle w:val="ft16"/>
          <w:b/>
          <w:bCs/>
          <w:i/>
          <w:iCs/>
          <w:color w:val="000000"/>
        </w:rPr>
        <w:t>д </w:t>
      </w:r>
      <w:r>
        <w:rPr>
          <w:color w:val="000000"/>
        </w:rPr>
        <w:t>варьирует от нескольких дней до месяца, чаще он продолжается 18—20 дней.</w:t>
      </w:r>
    </w:p>
    <w:p w:rsidR="00000000" w:rsidRDefault="00A014E7">
      <w:pPr>
        <w:pStyle w:val="p2239"/>
        <w:spacing w:before="60" w:after="0" w:line="225" w:lineRule="atLeast"/>
        <w:ind w:firstLine="285"/>
        <w:jc w:val="both"/>
      </w:pPr>
      <w:r>
        <w:rPr>
          <w:color w:val="000000"/>
        </w:rPr>
        <w:t>У детей достаточно редко вслед за ним может развиться короткий (1—3 дня) </w:t>
      </w:r>
      <w:r>
        <w:rPr>
          <w:rStyle w:val="ft44"/>
          <w:b/>
          <w:bCs/>
          <w:i/>
          <w:iCs/>
          <w:color w:val="000000"/>
        </w:rPr>
        <w:t>продромальный период, </w:t>
      </w:r>
      <w:r>
        <w:rPr>
          <w:color w:val="000000"/>
        </w:rPr>
        <w:t xml:space="preserve">проявляющийся познабливанием, головной болью, болями в мышцах и суставах, сухостью во </w:t>
      </w:r>
      <w:r>
        <w:rPr>
          <w:color w:val="000000"/>
        </w:rPr>
        <w:t>рту, неприятными ощущениями в области околоушных слюнных желёз. Чаще заболевание начинается остро с озноба и по</w:t>
      </w:r>
      <w:r>
        <w:rPr>
          <w:color w:val="000000"/>
        </w:rPr>
        <w:softHyphen/>
        <w:t xml:space="preserve"> вышения температуры тела от субфебрильных до высоких цифр; лихорадка со</w:t>
      </w:r>
      <w:r>
        <w:rPr>
          <w:color w:val="000000"/>
        </w:rPr>
        <w:softHyphen/>
        <w:t xml:space="preserve"> храняется не более 1 нед. Однако нередки случаи заболевания, протекающ</w:t>
      </w:r>
      <w:r>
        <w:rPr>
          <w:color w:val="000000"/>
        </w:rPr>
        <w:t>ие с нормальной температурой тела. Лихорадку сопровождают головная боль, общая слабость, недомогание, бессонница. Основное проявление паротита — воспале</w:t>
      </w:r>
      <w:r>
        <w:rPr>
          <w:color w:val="000000"/>
        </w:rPr>
        <w:softHyphen/>
        <w:t>ние околоушных, а также, возможно, подчелюстных и подъязычных слюнных желёз. В проекции этих желёз появ</w:t>
      </w:r>
      <w:r>
        <w:rPr>
          <w:color w:val="000000"/>
        </w:rPr>
        <w:t>ляется припухлость, болезненная при пальпа</w:t>
      </w:r>
      <w:r>
        <w:rPr>
          <w:color w:val="000000"/>
        </w:rPr>
        <w:softHyphen/>
        <w:t>ции (больше в центре), имеющая тестообразную консистенцию. При выражен</w:t>
      </w:r>
      <w:r>
        <w:rPr>
          <w:color w:val="000000"/>
        </w:rPr>
        <w:softHyphen/>
        <w:t xml:space="preserve"> ном увеличении околоушной слюнной железы лицо больного приобретает гру</w:t>
      </w:r>
      <w:r>
        <w:rPr>
          <w:color w:val="000000"/>
        </w:rPr>
        <w:softHyphen/>
        <w:t xml:space="preserve">шевидную форму, мочка уха с поражённой стороны приподнимается. Кожа в </w:t>
      </w:r>
      <w:r>
        <w:rPr>
          <w:color w:val="000000"/>
        </w:rPr>
        <w:t>области припухлости натянута, лоснится, с трудом собира</w:t>
      </w:r>
      <w:r>
        <w:rPr>
          <w:color w:val="000000"/>
        </w:rPr>
        <w:softHyphen/>
        <w:t>ется в складки, цвет её обычно не изменён. Чаще процесс бывает двусторонним, захватывающим через 1—2 дня околоушную железу и на противоположной сторо</w:t>
      </w:r>
      <w:r>
        <w:rPr>
          <w:color w:val="000000"/>
        </w:rPr>
        <w:softHyphen/>
        <w:t>не, но возможны и односторонние поражения. Больног</w:t>
      </w:r>
      <w:r>
        <w:rPr>
          <w:color w:val="000000"/>
        </w:rPr>
        <w:t>о беспокоят чувство на</w:t>
      </w:r>
      <w:r>
        <w:rPr>
          <w:color w:val="000000"/>
        </w:rPr>
        <w:softHyphen/>
        <w:t>пряжения и боли в околоушной области, особенно ночью; при сдавлении опухо</w:t>
      </w:r>
      <w:r>
        <w:rPr>
          <w:color w:val="000000"/>
        </w:rPr>
        <w:softHyphen/>
        <w:t xml:space="preserve"> лью евстахиевой трубы могут появиться шум и боли в ушах. При надавливании позади мочки уха появляется выраженная болезненность (симптом Филатова). Этот симпто</w:t>
      </w:r>
      <w:r>
        <w:rPr>
          <w:color w:val="000000"/>
        </w:rPr>
        <w:t>м — наиболее важный и ранний признак паротита. Слизистая обо</w:t>
      </w:r>
      <w:r>
        <w:rPr>
          <w:color w:val="000000"/>
        </w:rPr>
        <w:softHyphen/>
        <w:t>лочка вокруг отверстия стенонова протока гиперемирована и отёчна (симптом Мурсу); часто отмечают гиперемию зева, В некоторых случаях больной не может из-за боли пережёвывать пищу, а в ещё более т</w:t>
      </w:r>
      <w:r>
        <w:rPr>
          <w:color w:val="000000"/>
        </w:rPr>
        <w:t>яжёлых случаях развивается функ</w:t>
      </w:r>
      <w:r>
        <w:rPr>
          <w:color w:val="000000"/>
        </w:rPr>
        <w:softHyphen/>
        <w:t>циональный тризм жевательной мускулатуры. Возможны уменьшение слюноот</w:t>
      </w:r>
      <w:r>
        <w:rPr>
          <w:color w:val="000000"/>
        </w:rPr>
        <w:softHyphen/>
        <w:t>деления и сухость во рту, снижение слуха. Боли продолжаются 3—4 дня, иногда иррадиируют к уху или шее, а к концу недели постепенно затихают. Приблизи</w:t>
      </w:r>
      <w:r>
        <w:rPr>
          <w:color w:val="000000"/>
        </w:rPr>
        <w:softHyphen/>
        <w:t>тель</w:t>
      </w:r>
      <w:r>
        <w:rPr>
          <w:color w:val="000000"/>
        </w:rPr>
        <w:t>но к этому времени или на несколько дней позже исчезает отёчность в проекции слюнных желёз. При эпидемическом паротите регионарную лимфаденопатию, как правило, не отмечают.</w:t>
      </w:r>
    </w:p>
    <w:p w:rsidR="00000000" w:rsidRDefault="00A014E7">
      <w:pPr>
        <w:pStyle w:val="p2239"/>
        <w:spacing w:before="60" w:after="0" w:line="225" w:lineRule="atLeast"/>
        <w:ind w:firstLine="285"/>
        <w:jc w:val="both"/>
      </w:pPr>
      <w:r>
        <w:rPr>
          <w:color w:val="000000"/>
        </w:rPr>
        <w:t>У взрослых продромальный период отмечают чаще, для него характерны бо</w:t>
      </w:r>
      <w:r>
        <w:rPr>
          <w:color w:val="000000"/>
        </w:rPr>
        <w:softHyphen/>
        <w:t>лее выраженны</w:t>
      </w:r>
      <w:r>
        <w:rPr>
          <w:color w:val="000000"/>
        </w:rPr>
        <w:t>е клинические проявления. Помимо общетоксических в этот пе</w:t>
      </w:r>
      <w:r>
        <w:rPr>
          <w:color w:val="000000"/>
        </w:rPr>
        <w:softHyphen/>
        <w:t>риод возможны катаральные и диспептические явления. Острая фаза заболе</w:t>
      </w:r>
      <w:r>
        <w:rPr>
          <w:color w:val="000000"/>
        </w:rPr>
        <w:softHyphen/>
        <w:t>вания, как правило, бывает более тяжёлой. Значительно чаще, чем у детей, на</w:t>
      </w:r>
      <w:r>
        <w:rPr>
          <w:color w:val="000000"/>
        </w:rPr>
        <w:softHyphen/>
        <w:t xml:space="preserve"> блюдают поражения (возможно изолированные) подчел</w:t>
      </w:r>
      <w:r>
        <w:rPr>
          <w:color w:val="000000"/>
        </w:rPr>
        <w:t>юстных и подъязычных слюнных желёз. При субмаксиллите слюнная железа имеет тестоватую консис</w:t>
      </w:r>
      <w:r>
        <w:rPr>
          <w:color w:val="000000"/>
        </w:rPr>
        <w:softHyphen/>
        <w:t>тенцию и слегка болезненна, вытянута по ходу нижней челюсти, что распозна</w:t>
      </w:r>
      <w:r>
        <w:rPr>
          <w:color w:val="000000"/>
        </w:rPr>
        <w:softHyphen/>
        <w:t>ют при наклоне головы назад и в сторону. Отёк подкожной клетчатки вокруг же</w:t>
      </w:r>
      <w:r>
        <w:rPr>
          <w:color w:val="000000"/>
        </w:rPr>
        <w:softHyphen/>
        <w:t>лезы иногда р</w:t>
      </w:r>
      <w:r>
        <w:rPr>
          <w:color w:val="000000"/>
        </w:rPr>
        <w:t xml:space="preserve">аспространяется на шею. Сублингвит проявляется припухлостью в подбородочной области такого же характера, болями под языком, особенно при его высовывании, локальной гиперемией и отёчностью слизистой оболочки. Припухлость в проекции слюнных желёз у взрослых </w:t>
      </w:r>
      <w:r>
        <w:rPr>
          <w:color w:val="000000"/>
        </w:rPr>
        <w:t>сохраняется дольше (2 нед и более).</w:t>
      </w:r>
    </w:p>
    <w:p w:rsidR="00000000" w:rsidRDefault="00A014E7">
      <w:pPr>
        <w:pStyle w:val="p2241"/>
        <w:spacing w:before="1035" w:after="0" w:line="300" w:lineRule="atLeast"/>
      </w:pPr>
      <w:r>
        <w:rPr>
          <w:b/>
          <w:bCs/>
          <w:color w:val="000000"/>
        </w:rPr>
        <w:t>Дифференциальная диагностика</w:t>
      </w:r>
    </w:p>
    <w:p w:rsidR="00000000" w:rsidRDefault="00A014E7">
      <w:pPr>
        <w:pStyle w:val="p1583"/>
        <w:spacing w:before="150" w:after="0" w:line="240" w:lineRule="atLeast"/>
        <w:ind w:firstLine="270"/>
        <w:jc w:val="both"/>
      </w:pPr>
      <w:r>
        <w:rPr>
          <w:color w:val="000000"/>
        </w:rPr>
        <w:t>Заболевание следует отличать от гнойных воспалительных заболеваний око</w:t>
      </w:r>
      <w:r>
        <w:rPr>
          <w:color w:val="000000"/>
        </w:rPr>
        <w:softHyphen/>
        <w:t>лоушных желёз, их увеличения при обтурации стенонова протока слюнным камнем, паратонзиллярном абсцессе, инфекционном мон</w:t>
      </w:r>
      <w:r>
        <w:rPr>
          <w:color w:val="000000"/>
        </w:rPr>
        <w:t>онуклеозе, а также при дифтерии, сопровождающейся отёком подкожной клетчатки (токсической форме).</w:t>
      </w:r>
    </w:p>
    <w:p w:rsidR="00000000" w:rsidRDefault="00A014E7">
      <w:pPr>
        <w:pStyle w:val="p2242"/>
        <w:spacing w:before="225" w:after="0" w:line="240" w:lineRule="atLeast"/>
        <w:ind w:firstLine="285"/>
        <w:jc w:val="both"/>
      </w:pPr>
      <w:r>
        <w:rPr>
          <w:color w:val="000000"/>
        </w:rPr>
        <w:t>Для эпидемического паротита характерно острое начало с озноба, повышения температуры тела и других признаков интоксикации, появление болезненной (больше в цен</w:t>
      </w:r>
      <w:r>
        <w:rPr>
          <w:color w:val="000000"/>
        </w:rPr>
        <w:t>тре) тестообразной припухлости в проекции околоушных, реже подчелюстных или подъязычных слюнных желёз с чувством напряжения и боли. Поражение чаще носит двусторонний характер. Наиболее важные и ранние при</w:t>
      </w:r>
      <w:r>
        <w:rPr>
          <w:color w:val="000000"/>
        </w:rPr>
        <w:softHyphen/>
        <w:t xml:space="preserve"> знаки паротита — появление выраженной болезненност</w:t>
      </w:r>
      <w:r>
        <w:rPr>
          <w:color w:val="000000"/>
        </w:rPr>
        <w:t>и при надавливании по</w:t>
      </w:r>
      <w:r>
        <w:rPr>
          <w:color w:val="000000"/>
        </w:rPr>
        <w:softHyphen/>
        <w:t>зади мочки уха (симптом Филатова), гиперемия и отёк слизистой оболочки вок</w:t>
      </w:r>
      <w:r>
        <w:rPr>
          <w:color w:val="000000"/>
        </w:rPr>
        <w:softHyphen/>
        <w:t>руг отверстия стенонова протока (симптом Мурсу).</w:t>
      </w:r>
    </w:p>
    <w:p w:rsidR="00000000" w:rsidRDefault="00A014E7">
      <w:pPr>
        <w:pStyle w:val="p2243"/>
        <w:spacing w:before="585" w:after="0" w:line="300" w:lineRule="atLeast"/>
      </w:pPr>
      <w:r>
        <w:rPr>
          <w:b/>
          <w:bCs/>
          <w:color w:val="000000"/>
        </w:rPr>
        <w:t>Лабораторная диагностика</w:t>
      </w:r>
    </w:p>
    <w:p w:rsidR="00000000" w:rsidRDefault="00A014E7">
      <w:pPr>
        <w:pStyle w:val="p2244"/>
        <w:spacing w:before="150" w:after="0" w:line="240" w:lineRule="atLeast"/>
        <w:ind w:firstLine="300"/>
        <w:jc w:val="both"/>
      </w:pPr>
      <w:r>
        <w:rPr>
          <w:color w:val="000000"/>
        </w:rPr>
        <w:t>Изменения гемограммы при эпидемическом паротите незначительны и мало</w:t>
      </w:r>
      <w:r>
        <w:rPr>
          <w:color w:val="000000"/>
        </w:rPr>
        <w:softHyphen/>
        <w:t xml:space="preserve"> информативны. В</w:t>
      </w:r>
      <w:r>
        <w:rPr>
          <w:color w:val="000000"/>
        </w:rPr>
        <w:t xml:space="preserve"> широкой клинической практике специфические лабораторные тесты не применяют, поскольку они дают, как правило, ретроспективные резуль</w:t>
      </w:r>
      <w:r>
        <w:rPr>
          <w:color w:val="000000"/>
        </w:rPr>
        <w:softHyphen/>
        <w:t>таты. В диагностически трудных случаях можно применять ИФА, РСК, РТГА, РН в парных сыворотках (при заболевании происходит н</w:t>
      </w:r>
      <w:r>
        <w:rPr>
          <w:color w:val="000000"/>
        </w:rPr>
        <w:t>арастание титров в 4 раза и более). Более значимым в ранние сроки заболевания можно считать раздельное определение AT к V-Аг и S-Ar возбудителя. Высокие титры AT к S-Ar вируса в острый период заболевания служат подтверждением диагноза.</w:t>
      </w:r>
    </w:p>
    <w:p w:rsidR="00000000" w:rsidRDefault="00A014E7">
      <w:pPr>
        <w:pStyle w:val="p2245"/>
        <w:spacing w:before="285" w:after="0" w:line="210" w:lineRule="atLeast"/>
        <w:ind w:firstLine="285"/>
        <w:jc w:val="both"/>
      </w:pPr>
      <w:r>
        <w:rPr>
          <w:color w:val="000000"/>
        </w:rPr>
        <w:t>Вспомогательное знач</w:t>
      </w:r>
      <w:r>
        <w:rPr>
          <w:color w:val="000000"/>
        </w:rPr>
        <w:t>ение имеет определение активности амилазы и диаста</w:t>
      </w:r>
      <w:r>
        <w:rPr>
          <w:color w:val="000000"/>
        </w:rPr>
        <w:softHyphen/>
        <w:t>зы в крови и моче.</w:t>
      </w:r>
    </w:p>
    <w:p w:rsidR="00000000" w:rsidRDefault="00A014E7">
      <w:pPr>
        <w:pStyle w:val="p1787"/>
        <w:spacing w:before="600" w:after="0" w:line="300" w:lineRule="atLeast"/>
      </w:pPr>
      <w:r>
        <w:rPr>
          <w:b/>
          <w:bCs/>
          <w:color w:val="000000"/>
        </w:rPr>
        <w:t>Осложнения</w:t>
      </w:r>
    </w:p>
    <w:p w:rsidR="00000000" w:rsidRDefault="00A014E7">
      <w:pPr>
        <w:pStyle w:val="p2122"/>
        <w:spacing w:before="150" w:after="0" w:line="240" w:lineRule="atLeast"/>
        <w:ind w:firstLine="300"/>
        <w:jc w:val="both"/>
      </w:pPr>
      <w:r>
        <w:rPr>
          <w:color w:val="000000"/>
        </w:rPr>
        <w:t>Острая фаза эпидемического паротита, как правило, протекает благоприятно, но возможны серьёзные осложнения в более поздние сроки. К ним относят се</w:t>
      </w:r>
      <w:r>
        <w:rPr>
          <w:color w:val="000000"/>
        </w:rPr>
        <w:softHyphen/>
        <w:t xml:space="preserve"> розный менингит, менингоэнц</w:t>
      </w:r>
      <w:r>
        <w:rPr>
          <w:color w:val="000000"/>
        </w:rPr>
        <w:t>ефалит (в редких случаях), орхит и эпидидимит, оофорит, острый панкреатит. Существует мнение о том, что указанные осложне</w:t>
      </w:r>
      <w:r>
        <w:rPr>
          <w:color w:val="000000"/>
        </w:rPr>
        <w:softHyphen/>
        <w:t>ния служат типичными проявлениями более тяжёлых форм основного заболева</w:t>
      </w:r>
      <w:r>
        <w:rPr>
          <w:color w:val="000000"/>
        </w:rPr>
        <w:softHyphen/>
        <w:t>ния, поскольку они, так же как и паротит, связаны с тропностью</w:t>
      </w:r>
      <w:r>
        <w:rPr>
          <w:color w:val="000000"/>
        </w:rPr>
        <w:t xml:space="preserve"> возбудителя к железистой ткани и нервной системе.</w:t>
      </w:r>
    </w:p>
    <w:p w:rsidR="00000000" w:rsidRDefault="00A014E7">
      <w:pPr>
        <w:pStyle w:val="p1458"/>
        <w:spacing w:before="600" w:after="0" w:line="300" w:lineRule="atLeast"/>
      </w:pPr>
      <w:r>
        <w:rPr>
          <w:b/>
          <w:bCs/>
          <w:color w:val="000000"/>
        </w:rPr>
        <w:t>Лечение</w:t>
      </w:r>
    </w:p>
    <w:p w:rsidR="00000000" w:rsidRDefault="00A014E7">
      <w:pPr>
        <w:pStyle w:val="p2246"/>
        <w:spacing w:before="150" w:after="0" w:line="240" w:lineRule="atLeast"/>
        <w:ind w:firstLine="315"/>
        <w:jc w:val="both"/>
      </w:pPr>
      <w:r>
        <w:rPr>
          <w:color w:val="000000"/>
        </w:rPr>
        <w:t>При неосложнённых формах лечение амбулаторное. Больных обычно госпи</w:t>
      </w:r>
      <w:r>
        <w:rPr>
          <w:color w:val="000000"/>
        </w:rPr>
        <w:softHyphen/>
        <w:t>тализируют по эпидемиологическим показаниям или в случаях возникновения осложнений. Средства этиотропной терапии отсутствуют. Пос</w:t>
      </w:r>
      <w:r>
        <w:rPr>
          <w:color w:val="000000"/>
        </w:rPr>
        <w:t>тельный режим рекомендуют в лихорадочный период независимо от тяжести заболевания. В пер</w:t>
      </w:r>
      <w:r>
        <w:rPr>
          <w:color w:val="000000"/>
        </w:rPr>
        <w:softHyphen/>
        <w:t xml:space="preserve"> вые дни болезни больным дают преимущественно жидкую или полужидкую пищу. Особое значение приобретает уход за полостью рта: частое питьё, полоскание кипячёной водой ил</w:t>
      </w:r>
      <w:r>
        <w:rPr>
          <w:color w:val="000000"/>
        </w:rPr>
        <w:t>и 2% раствором соды, тщательная чистка зубов. На область околоушных желёз применяют сухое тепло (сухие согревающие компрессы, об</w:t>
      </w:r>
      <w:r>
        <w:rPr>
          <w:color w:val="000000"/>
        </w:rPr>
        <w:softHyphen/>
        <w:t xml:space="preserve"> лучение лампой соллюкс), назначают местные физиотерапевтические процедуры в виде ультрафиолетового облучения, УВЧ-терапии, диа</w:t>
      </w:r>
      <w:r>
        <w:rPr>
          <w:color w:val="000000"/>
        </w:rPr>
        <w:t>термии. При выражен</w:t>
      </w:r>
      <w:r>
        <w:rPr>
          <w:color w:val="000000"/>
        </w:rPr>
        <w:softHyphen/>
        <w:t xml:space="preserve"> ном токсикозе проводят дезинтоксикационную терапию с назначением неболь ших доз глюкокортикоидов (под врачебным контролем). В некоторых клиниках получены положительные результаты после применения ИФН (лейкинферона) в ранние сроки забол</w:t>
      </w:r>
      <w:r>
        <w:rPr>
          <w:color w:val="000000"/>
        </w:rPr>
        <w:t>евания.</w:t>
      </w:r>
    </w:p>
    <w:p w:rsidR="00000000" w:rsidRDefault="00A014E7">
      <w:pPr>
        <w:pStyle w:val="p2247"/>
        <w:spacing w:before="240" w:after="0" w:line="240" w:lineRule="atLeast"/>
        <w:ind w:firstLine="285"/>
        <w:jc w:val="both"/>
      </w:pPr>
      <w:r>
        <w:rPr>
          <w:color w:val="000000"/>
        </w:rPr>
        <w:t>При развитии орхита кроме постельного режима рекомендуют применять сус</w:t>
      </w:r>
      <w:r>
        <w:rPr>
          <w:color w:val="000000"/>
        </w:rPr>
        <w:softHyphen/>
        <w:t>пензории, местно в первые 3-4 дня — холод, а в последующие дни — тепло. Так</w:t>
      </w:r>
      <w:r>
        <w:rPr>
          <w:color w:val="000000"/>
        </w:rPr>
        <w:softHyphen/>
        <w:t xml:space="preserve"> же проводят раннее лечение средними дозами глюкокортикоидов.</w:t>
      </w:r>
    </w:p>
    <w:p w:rsidR="00000000" w:rsidRDefault="00A014E7">
      <w:pPr>
        <w:pStyle w:val="p1948"/>
        <w:spacing w:before="330" w:after="0" w:line="300" w:lineRule="atLeast"/>
      </w:pPr>
      <w:r>
        <w:rPr>
          <w:b/>
          <w:bCs/>
          <w:color w:val="000000"/>
        </w:rPr>
        <w:t>Эпидемиологический надзор</w:t>
      </w:r>
    </w:p>
    <w:p w:rsidR="00000000" w:rsidRDefault="00A014E7">
      <w:pPr>
        <w:pStyle w:val="p1807"/>
        <w:spacing w:before="165" w:after="0" w:line="255" w:lineRule="atLeast"/>
        <w:ind w:firstLine="285"/>
        <w:jc w:val="both"/>
      </w:pPr>
      <w:r>
        <w:rPr>
          <w:color w:val="000000"/>
        </w:rPr>
        <w:t>Эпидемиологич</w:t>
      </w:r>
      <w:r>
        <w:rPr>
          <w:color w:val="000000"/>
        </w:rPr>
        <w:t>еский надзор включает изучение основных характеристик эпи</w:t>
      </w:r>
      <w:r>
        <w:rPr>
          <w:color w:val="000000"/>
        </w:rPr>
        <w:softHyphen/>
        <w:t>демического процесса инфекции, выявление среди населения групп риска на ос</w:t>
      </w:r>
      <w:r>
        <w:rPr>
          <w:color w:val="000000"/>
        </w:rPr>
        <w:softHyphen/>
        <w:t>новании показателей состояния здоровья детей и серологических показателей. Поскольку вакцинация — главное направление в бор</w:t>
      </w:r>
      <w:r>
        <w:rPr>
          <w:color w:val="000000"/>
        </w:rPr>
        <w:t>ьбе с паротитом, особоевни</w:t>
      </w:r>
      <w:r>
        <w:rPr>
          <w:color w:val="000000"/>
        </w:rPr>
        <w:softHyphen/>
        <w:t xml:space="preserve"> мание следует уделять контролю за охватом прививками детей раннего возраста, дальнейшему совершенствованию календаря и схемы прививок. В эпидемиоло</w:t>
      </w:r>
      <w:r>
        <w:rPr>
          <w:color w:val="000000"/>
        </w:rPr>
        <w:softHyphen/>
        <w:t>гической практике могут быть применены такие критерии, как рост числа ма</w:t>
      </w:r>
      <w:r>
        <w:rPr>
          <w:color w:val="000000"/>
        </w:rPr>
        <w:softHyphen/>
        <w:t>нифестн</w:t>
      </w:r>
      <w:r>
        <w:rPr>
          <w:color w:val="000000"/>
        </w:rPr>
        <w:t>о протекающих форм инфекции, что, несомненно, свидетельствует об увеличении контингентов непривитых. С другой стороны, низкие показатели заболеваемости паротитом в сочетании с высокими титрами антигемагглютининов в сыворотках крови обследуемых детей и подр</w:t>
      </w:r>
      <w:r>
        <w:rPr>
          <w:color w:val="000000"/>
        </w:rPr>
        <w:t>остков свидетельствуют о широком распространении стёртых и инаппарантно протекающих случаев забо</w:t>
      </w:r>
      <w:r>
        <w:rPr>
          <w:color w:val="000000"/>
        </w:rPr>
        <w:softHyphen/>
        <w:t>левания, остающихся недиагностированными. Необходимо проводить серологи</w:t>
      </w:r>
      <w:r>
        <w:rPr>
          <w:color w:val="000000"/>
        </w:rPr>
        <w:softHyphen/>
        <w:t>ческий скрининг беременных с целью определения групп риска в отношении за</w:t>
      </w:r>
      <w:r>
        <w:rPr>
          <w:color w:val="000000"/>
        </w:rPr>
        <w:softHyphen/>
        <w:t>болевания эпи</w:t>
      </w:r>
      <w:r>
        <w:rPr>
          <w:color w:val="000000"/>
        </w:rPr>
        <w:t>демическим паротитом среди новорождённых детей.</w:t>
      </w:r>
    </w:p>
    <w:p w:rsidR="00000000" w:rsidRDefault="00A014E7">
      <w:pPr>
        <w:pStyle w:val="p2248"/>
        <w:spacing w:before="675" w:after="0" w:line="300" w:lineRule="atLeast"/>
      </w:pPr>
      <w:r>
        <w:rPr>
          <w:b/>
          <w:bCs/>
          <w:color w:val="000000"/>
        </w:rPr>
        <w:t>Профилактические мероприятия</w:t>
      </w:r>
    </w:p>
    <w:p w:rsidR="00000000" w:rsidRDefault="00A014E7">
      <w:pPr>
        <w:pStyle w:val="p2249"/>
        <w:spacing w:before="165" w:after="0" w:line="255" w:lineRule="atLeast"/>
        <w:ind w:firstLine="270"/>
        <w:jc w:val="both"/>
      </w:pPr>
      <w:r>
        <w:rPr>
          <w:color w:val="000000"/>
        </w:rPr>
        <w:t>Для специфической профилактики применяют живую вакцину (ЖПВ) из аттенуированного штамма вируса паротита Л-3, выращенного на культуре кле</w:t>
      </w:r>
      <w:r>
        <w:rPr>
          <w:color w:val="000000"/>
        </w:rPr>
        <w:softHyphen/>
        <w:t>ток эмбрионов японских перепелов. Профилак</w:t>
      </w:r>
      <w:r>
        <w:rPr>
          <w:color w:val="000000"/>
        </w:rPr>
        <w:t>тические прививки проводят в пла</w:t>
      </w:r>
      <w:r>
        <w:rPr>
          <w:color w:val="000000"/>
        </w:rPr>
        <w:softHyphen/>
        <w:t>новом порядке детям в возрасте 12 мес, не болевшим паротитом, с последую</w:t>
      </w:r>
      <w:r>
        <w:rPr>
          <w:color w:val="000000"/>
        </w:rPr>
        <w:softHyphen/>
        <w:t xml:space="preserve"> щей ревакцинацией в 6 лет ассоциированной вакциной против кори, паротита и краснухи. Эффективность вакцинации против паротита достаточно высока, она </w:t>
      </w:r>
      <w:r>
        <w:rPr>
          <w:color w:val="000000"/>
        </w:rPr>
        <w:t>способствует резкому уменьшению заболеваемости паротитом и снижению ко</w:t>
      </w:r>
      <w:r>
        <w:rPr>
          <w:color w:val="000000"/>
        </w:rPr>
        <w:softHyphen/>
        <w:t>личества осложнений (менингитов, орхитов, панкреатитов). Оправданы вак</w:t>
      </w:r>
      <w:r>
        <w:rPr>
          <w:color w:val="000000"/>
        </w:rPr>
        <w:softHyphen/>
        <w:t>цинация и ревакцинация подростков и взрослых по результатам серологических обследований.</w:t>
      </w:r>
    </w:p>
    <w:p w:rsidR="00000000" w:rsidRDefault="00A014E7">
      <w:pPr>
        <w:pStyle w:val="p2250"/>
        <w:spacing w:before="720" w:after="0" w:line="300" w:lineRule="atLeast"/>
      </w:pPr>
      <w:r>
        <w:rPr>
          <w:b/>
          <w:bCs/>
          <w:color w:val="000000"/>
        </w:rPr>
        <w:t>Мероприятия в эпидемическ</w:t>
      </w:r>
      <w:r>
        <w:rPr>
          <w:b/>
          <w:bCs/>
          <w:color w:val="000000"/>
        </w:rPr>
        <w:t>ом очаге</w:t>
      </w:r>
    </w:p>
    <w:p w:rsidR="00000000" w:rsidRDefault="00A014E7">
      <w:pPr>
        <w:pStyle w:val="p1775"/>
        <w:spacing w:before="165" w:after="0" w:line="240" w:lineRule="atLeast"/>
        <w:ind w:firstLine="285"/>
        <w:jc w:val="both"/>
      </w:pPr>
      <w:r>
        <w:rPr>
          <w:color w:val="000000"/>
        </w:rPr>
        <w:t>Противоэпидемическую работу в очаге начинают с изоляции больных. Госпи</w:t>
      </w:r>
      <w:r>
        <w:rPr>
          <w:color w:val="000000"/>
        </w:rPr>
        <w:softHyphen/>
        <w:t>тализации подлежат больные с тяжёлыми формами и из организованных закры</w:t>
      </w:r>
      <w:r>
        <w:rPr>
          <w:color w:val="000000"/>
        </w:rPr>
        <w:softHyphen/>
        <w:t>тых коллективов, общежитий. Чаще больного изолируют дома до исчезновения клинических признаков, но не ме</w:t>
      </w:r>
      <w:r>
        <w:rPr>
          <w:color w:val="000000"/>
        </w:rPr>
        <w:t>нее чем на 9 дней. Помещение, где содержится больной, часто проветривают, проводят влажную уборку, больному выделяют отдельную посуду, бельё, игрушки и др. Дети до 10 лет, не болевшие эпидемичес</w:t>
      </w:r>
      <w:r>
        <w:rPr>
          <w:color w:val="000000"/>
        </w:rPr>
        <w:softHyphen/>
        <w:t>ким паротитом, подлежат разобщению на 21 день с момента конта</w:t>
      </w:r>
      <w:r>
        <w:rPr>
          <w:color w:val="000000"/>
        </w:rPr>
        <w:t>кта с больным. В связи с длительной инкубацией и контагиозностью только в последние дни это</w:t>
      </w:r>
      <w:r>
        <w:rPr>
          <w:color w:val="000000"/>
        </w:rPr>
        <w:softHyphen/>
        <w:t>го периода лица, общавшиеся с больным, могут посещать детские коллективы в первые 10 дней инкубационного периода, но с 11-го по 21-й день подлежат разобщению. При о</w:t>
      </w:r>
      <w:r>
        <w:rPr>
          <w:color w:val="000000"/>
        </w:rPr>
        <w:t>тсутствии противопоказаний к вакцинации ранее не привитым детям следует ввести ЖПВ. Экстренную вакцинопрофилактику также можно проводить по результатам серологического скрининга. Для этого исполь</w:t>
      </w:r>
      <w:r>
        <w:rPr>
          <w:color w:val="000000"/>
        </w:rPr>
        <w:softHyphen/>
        <w:t>зуют моно- или ассоциированные живые вакцины с паротитным ко</w:t>
      </w:r>
      <w:r>
        <w:rPr>
          <w:color w:val="000000"/>
        </w:rPr>
        <w:t>мпонентом, зарегистрированные на территории России. Применение нормального имму</w:t>
      </w:r>
      <w:r>
        <w:rPr>
          <w:color w:val="000000"/>
        </w:rPr>
        <w:softHyphen/>
        <w:t>ноглобулина человека с целью экстренной профилактики контактных в оча</w:t>
      </w:r>
      <w:r>
        <w:rPr>
          <w:color w:val="000000"/>
        </w:rPr>
        <w:softHyphen/>
        <w:t>гах эпидемического паротита в настоящее время недостаточно эффективно из-за низкого содержания AT к вирусу</w:t>
      </w:r>
      <w:r>
        <w:rPr>
          <w:color w:val="000000"/>
        </w:rPr>
        <w:t xml:space="preserve"> паротита в донорской плазме, из которой при</w:t>
      </w:r>
      <w:r>
        <w:rPr>
          <w:color w:val="000000"/>
        </w:rPr>
        <w:softHyphen/>
        <w:t>готовлен этот препарат. Переболевших можно допускать в коллектив после кли</w:t>
      </w:r>
      <w:r>
        <w:rPr>
          <w:color w:val="000000"/>
        </w:rPr>
        <w:softHyphen/>
        <w:t>нического выздоровления даже при появлении в детском учреждении повторных заболеваний. Диспансерное наблюдение за переболевшими не регла</w:t>
      </w:r>
      <w:r>
        <w:rPr>
          <w:color w:val="000000"/>
        </w:rPr>
        <w:t>ментиро</w:t>
      </w:r>
      <w:r>
        <w:rPr>
          <w:color w:val="000000"/>
        </w:rPr>
        <w:softHyphen/>
        <w:t>вано. Однако существуют рекомендации о необходимости наблюдения в тече</w:t>
      </w:r>
      <w:r>
        <w:rPr>
          <w:color w:val="000000"/>
        </w:rPr>
        <w:softHyphen/>
        <w:t>ние 2 лет за перенёсшими паротитный серозный менингит или менингоэнцефалит в связи с возможностью отклонений в неврологическом или психическом статусе.</w:t>
      </w:r>
    </w:p>
    <w:p w:rsidR="00000000" w:rsidRDefault="00A014E7">
      <w:pPr>
        <w:jc w:val="center"/>
        <w:rPr>
          <w:b/>
          <w:color w:val="000000"/>
          <w:sz w:val="28"/>
          <w:szCs w:val="28"/>
        </w:rPr>
      </w:pPr>
    </w:p>
    <w:p w:rsidR="00000000" w:rsidRDefault="00A014E7">
      <w:pPr>
        <w:jc w:val="center"/>
        <w:rPr>
          <w:b/>
          <w:sz w:val="28"/>
          <w:szCs w:val="28"/>
        </w:rPr>
      </w:pPr>
    </w:p>
    <w:p w:rsidR="00000000" w:rsidRDefault="00A014E7">
      <w:pPr>
        <w:jc w:val="center"/>
        <w:rPr>
          <w:b/>
          <w:sz w:val="28"/>
          <w:szCs w:val="28"/>
        </w:rPr>
      </w:pPr>
    </w:p>
    <w:p w:rsidR="00000000" w:rsidRDefault="00A014E7">
      <w:pPr>
        <w:jc w:val="center"/>
        <w:rPr>
          <w:b/>
          <w:sz w:val="28"/>
          <w:szCs w:val="28"/>
        </w:rPr>
      </w:pPr>
    </w:p>
    <w:p w:rsidR="00000000" w:rsidRDefault="00A014E7">
      <w:pPr>
        <w:jc w:val="center"/>
        <w:rPr>
          <w:b/>
          <w:sz w:val="28"/>
          <w:szCs w:val="28"/>
        </w:rPr>
      </w:pPr>
    </w:p>
    <w:p w:rsidR="00000000" w:rsidRDefault="00A014E7">
      <w:pPr>
        <w:jc w:val="center"/>
        <w:rPr>
          <w:b/>
          <w:sz w:val="28"/>
          <w:szCs w:val="28"/>
        </w:rPr>
      </w:pPr>
    </w:p>
    <w:p w:rsidR="00000000" w:rsidRDefault="00A014E7">
      <w:pPr>
        <w:jc w:val="center"/>
        <w:rPr>
          <w:b/>
          <w:sz w:val="28"/>
          <w:szCs w:val="28"/>
        </w:rPr>
      </w:pPr>
    </w:p>
    <w:p w:rsidR="00000000" w:rsidRDefault="00A014E7">
      <w:r>
        <w:rPr>
          <w:b/>
          <w:sz w:val="28"/>
          <w:szCs w:val="28"/>
        </w:rPr>
        <w:t>Используемая литер</w:t>
      </w:r>
      <w:r>
        <w:rPr>
          <w:b/>
          <w:sz w:val="28"/>
          <w:szCs w:val="28"/>
        </w:rPr>
        <w:t>атура</w:t>
      </w:r>
    </w:p>
    <w:p w:rsidR="00000000" w:rsidRDefault="00A014E7">
      <w:pPr>
        <w:rPr>
          <w:b/>
          <w:sz w:val="28"/>
          <w:szCs w:val="28"/>
        </w:rPr>
      </w:pPr>
    </w:p>
    <w:p w:rsidR="00000000" w:rsidRDefault="00A014E7">
      <w:pPr>
        <w:numPr>
          <w:ilvl w:val="0"/>
          <w:numId w:val="1"/>
        </w:numPr>
      </w:pPr>
      <w:r>
        <w:rPr>
          <w:color w:val="000000"/>
        </w:rPr>
        <w:t>Учебник- Инфекционные болезни и эпидемиология (В.И. Покровский, Г.С. Пак, В.И. Брико, 2007</w:t>
      </w:r>
    </w:p>
    <w:p w:rsidR="00000000" w:rsidRDefault="00A014E7">
      <w:pPr>
        <w:numPr>
          <w:ilvl w:val="0"/>
          <w:numId w:val="1"/>
        </w:numPr>
      </w:pPr>
      <w:r>
        <w:t>Эпидемический паротит. Современные представления о возбудителе, клиника, диагностика, профилактика / Под ред. А. П. Агафонова. - Новосибирск: ЗАО “Медикобиоло</w:t>
      </w:r>
      <w:r>
        <w:t>гический Союз”, 2007</w:t>
      </w:r>
    </w:p>
    <w:p w:rsidR="00000000" w:rsidRDefault="00A014E7">
      <w:pPr>
        <w:numPr>
          <w:ilvl w:val="0"/>
          <w:numId w:val="1"/>
        </w:numPr>
      </w:pPr>
      <w:r>
        <w:t>Ющук Н. Д., Кареткина Г. Н., Мельникова Л. И. Инфекционные болезни : учебник / Н. Д. Ющук, Г. Н. Кареткина, Л. И. Мельникова. — 4-е изд., испр. и доп. — М. : ГЭОТАР-Медиа, 2014.</w:t>
      </w:r>
    </w:p>
    <w:p w:rsidR="00000000" w:rsidRDefault="00A014E7">
      <w:pPr>
        <w:numPr>
          <w:ilvl w:val="0"/>
          <w:numId w:val="1"/>
        </w:numPr>
      </w:pPr>
      <w:r>
        <w:t xml:space="preserve">Санитарно-эпидемиологические правила «Профилактика кори, </w:t>
      </w:r>
      <w:r>
        <w:t>краснухи и эпидемического паротита» СП 3.1.2952-11. Зарегистрировано в Минюсте РФ 24 ноября 2011 г. № 22379.</w:t>
      </w:r>
    </w:p>
    <w:p w:rsidR="00000000" w:rsidRDefault="00A014E7">
      <w:pPr>
        <w:numPr>
          <w:ilvl w:val="0"/>
          <w:numId w:val="1"/>
        </w:numPr>
      </w:pPr>
      <w:r>
        <w:t>Инфекционные болезни у детей: руководство для врачей / Под ред. В.В. Ивановой. – 2- е изд., перераб. и доп. 2009.</w:t>
      </w:r>
    </w:p>
    <w:p w:rsidR="00000000" w:rsidRDefault="00A014E7">
      <w:pPr>
        <w:numPr>
          <w:ilvl w:val="0"/>
          <w:numId w:val="1"/>
        </w:numPr>
      </w:pPr>
      <w:r>
        <w:t>Инфекционные болезни: учебник. Уч</w:t>
      </w:r>
      <w:r>
        <w:t>айкин В.Ф., Нисевич Н.И., Шамшева О.В. 2013</w:t>
      </w:r>
    </w:p>
    <w:p w:rsidR="00A014E7" w:rsidRDefault="00A014E7">
      <w:pPr>
        <w:numPr>
          <w:ilvl w:val="0"/>
          <w:numId w:val="1"/>
        </w:numPr>
      </w:pPr>
      <w:r>
        <w:rPr>
          <w:color w:val="000000"/>
          <w:highlight w:val="white"/>
        </w:rPr>
        <w:t>Клинические рекомендации оказания медицинской помощи детям, больным эпидемическим паротитом/ Общественная организация «Евроазиатское общество по инфекционным болезням», председатель Ю.В. Лобзин, 2015.</w:t>
      </w:r>
    </w:p>
    <w:sectPr w:rsidR="00A014E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color w:val="000000"/>
        <w:sz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59A"/>
    <w:rsid w:val="0018059A"/>
    <w:rsid w:val="00A0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3ED38DF-FE17-43B6-97A9-CCE3FA12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 w:hint="default"/>
      <w:b w:val="0"/>
      <w:color w:val="000000"/>
      <w:sz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character" w:customStyle="1" w:styleId="ft202">
    <w:name w:val="ft202"/>
  </w:style>
  <w:style w:type="character" w:customStyle="1" w:styleId="ft16">
    <w:name w:val="ft16"/>
  </w:style>
  <w:style w:type="character" w:customStyle="1" w:styleId="ft4">
    <w:name w:val="ft4"/>
  </w:style>
  <w:style w:type="character" w:customStyle="1" w:styleId="ft31">
    <w:name w:val="ft31"/>
  </w:style>
  <w:style w:type="character" w:customStyle="1" w:styleId="ft52">
    <w:name w:val="ft52"/>
  </w:style>
  <w:style w:type="character" w:customStyle="1" w:styleId="ft12">
    <w:name w:val="ft12"/>
  </w:style>
  <w:style w:type="character" w:customStyle="1" w:styleId="ft44">
    <w:name w:val="ft44"/>
  </w:style>
  <w:style w:type="character" w:customStyle="1" w:styleId="a3">
    <w:name w:val="Верхний колонтитул Знак"/>
    <w:rPr>
      <w:sz w:val="24"/>
      <w:szCs w:val="24"/>
    </w:rPr>
  </w:style>
  <w:style w:type="character" w:customStyle="1" w:styleId="a4">
    <w:name w:val="Нижний колонтитул Знак"/>
    <w:rPr>
      <w:sz w:val="24"/>
      <w:szCs w:val="24"/>
    </w:rPr>
  </w:style>
  <w:style w:type="paragraph" w:customStyle="1" w:styleId="10">
    <w:name w:val="Заголовок1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p1683">
    <w:name w:val="p1683"/>
    <w:basedOn w:val="a"/>
    <w:pPr>
      <w:spacing w:before="280" w:after="280"/>
    </w:pPr>
  </w:style>
  <w:style w:type="paragraph" w:customStyle="1" w:styleId="p489">
    <w:name w:val="p489"/>
    <w:basedOn w:val="a"/>
    <w:pPr>
      <w:spacing w:before="280" w:after="280"/>
    </w:pPr>
  </w:style>
  <w:style w:type="paragraph" w:customStyle="1" w:styleId="p1523">
    <w:name w:val="p1523"/>
    <w:basedOn w:val="a"/>
    <w:pPr>
      <w:spacing w:before="280" w:after="280"/>
    </w:pPr>
  </w:style>
  <w:style w:type="paragraph" w:customStyle="1" w:styleId="p1095">
    <w:name w:val="p1095"/>
    <w:basedOn w:val="a"/>
    <w:pPr>
      <w:spacing w:before="280" w:after="280"/>
    </w:pPr>
  </w:style>
  <w:style w:type="paragraph" w:customStyle="1" w:styleId="p2235">
    <w:name w:val="p2235"/>
    <w:basedOn w:val="a"/>
    <w:pPr>
      <w:spacing w:before="280" w:after="280"/>
    </w:pPr>
  </w:style>
  <w:style w:type="paragraph" w:customStyle="1" w:styleId="p2229">
    <w:name w:val="p2229"/>
    <w:basedOn w:val="a"/>
    <w:pPr>
      <w:spacing w:before="280" w:after="280"/>
    </w:pPr>
  </w:style>
  <w:style w:type="paragraph" w:customStyle="1" w:styleId="p2140">
    <w:name w:val="p2140"/>
    <w:basedOn w:val="a"/>
    <w:pPr>
      <w:spacing w:before="280" w:after="280"/>
    </w:pPr>
  </w:style>
  <w:style w:type="paragraph" w:customStyle="1" w:styleId="p1775">
    <w:name w:val="p1775"/>
    <w:basedOn w:val="a"/>
    <w:pPr>
      <w:spacing w:before="280" w:after="280"/>
    </w:pPr>
  </w:style>
  <w:style w:type="paragraph" w:customStyle="1" w:styleId="p1636">
    <w:name w:val="p1636"/>
    <w:basedOn w:val="a"/>
    <w:pPr>
      <w:spacing w:before="280" w:after="280"/>
    </w:pPr>
  </w:style>
  <w:style w:type="paragraph" w:customStyle="1" w:styleId="p1599">
    <w:name w:val="p1599"/>
    <w:basedOn w:val="a"/>
    <w:pPr>
      <w:spacing w:before="280" w:after="280"/>
    </w:pPr>
  </w:style>
  <w:style w:type="paragraph" w:customStyle="1" w:styleId="p1202">
    <w:name w:val="p1202"/>
    <w:basedOn w:val="a"/>
    <w:pPr>
      <w:spacing w:before="280" w:after="280"/>
    </w:pPr>
  </w:style>
  <w:style w:type="paragraph" w:customStyle="1" w:styleId="p839">
    <w:name w:val="p839"/>
    <w:basedOn w:val="a"/>
    <w:pPr>
      <w:spacing w:before="280" w:after="280"/>
    </w:pPr>
  </w:style>
  <w:style w:type="paragraph" w:customStyle="1" w:styleId="p1442">
    <w:name w:val="p1442"/>
    <w:basedOn w:val="a"/>
    <w:pPr>
      <w:spacing w:before="280" w:after="280"/>
    </w:pPr>
  </w:style>
  <w:style w:type="paragraph" w:customStyle="1" w:styleId="p171">
    <w:name w:val="p171"/>
    <w:basedOn w:val="a"/>
    <w:pPr>
      <w:spacing w:before="280" w:after="280"/>
    </w:pPr>
  </w:style>
  <w:style w:type="paragraph" w:customStyle="1" w:styleId="p123">
    <w:name w:val="p123"/>
    <w:basedOn w:val="a"/>
    <w:pPr>
      <w:spacing w:before="280" w:after="280"/>
    </w:pPr>
  </w:style>
  <w:style w:type="paragraph" w:customStyle="1" w:styleId="p2236">
    <w:name w:val="p2236"/>
    <w:basedOn w:val="a"/>
    <w:pPr>
      <w:spacing w:before="280" w:after="280"/>
    </w:pPr>
  </w:style>
  <w:style w:type="paragraph" w:customStyle="1" w:styleId="p2237">
    <w:name w:val="p2237"/>
    <w:basedOn w:val="a"/>
    <w:pPr>
      <w:spacing w:before="280" w:after="280"/>
    </w:pPr>
  </w:style>
  <w:style w:type="paragraph" w:customStyle="1" w:styleId="p2238">
    <w:name w:val="p2238"/>
    <w:basedOn w:val="a"/>
    <w:pPr>
      <w:spacing w:before="280" w:after="280"/>
    </w:pPr>
  </w:style>
  <w:style w:type="paragraph" w:customStyle="1" w:styleId="p1421">
    <w:name w:val="p1421"/>
    <w:basedOn w:val="a"/>
    <w:pPr>
      <w:spacing w:before="280" w:after="280"/>
    </w:pPr>
  </w:style>
  <w:style w:type="paragraph" w:customStyle="1" w:styleId="p1952">
    <w:name w:val="p1952"/>
    <w:basedOn w:val="a"/>
    <w:pPr>
      <w:spacing w:before="280" w:after="280"/>
    </w:pPr>
  </w:style>
  <w:style w:type="paragraph" w:customStyle="1" w:styleId="p1886">
    <w:name w:val="p1886"/>
    <w:basedOn w:val="a"/>
    <w:pPr>
      <w:spacing w:before="280" w:after="280"/>
    </w:pPr>
  </w:style>
  <w:style w:type="paragraph" w:customStyle="1" w:styleId="p2218">
    <w:name w:val="p2218"/>
    <w:basedOn w:val="a"/>
    <w:pPr>
      <w:spacing w:before="280" w:after="280"/>
    </w:pPr>
  </w:style>
  <w:style w:type="paragraph" w:customStyle="1" w:styleId="p2239">
    <w:name w:val="p2239"/>
    <w:basedOn w:val="a"/>
    <w:pPr>
      <w:spacing w:before="280" w:after="280"/>
    </w:pPr>
  </w:style>
  <w:style w:type="paragraph" w:customStyle="1" w:styleId="p553">
    <w:name w:val="p553"/>
    <w:basedOn w:val="a"/>
    <w:pPr>
      <w:spacing w:before="280" w:after="280"/>
    </w:pPr>
  </w:style>
  <w:style w:type="paragraph" w:customStyle="1" w:styleId="p2240">
    <w:name w:val="p2240"/>
    <w:basedOn w:val="a"/>
    <w:pPr>
      <w:spacing w:before="280" w:after="280"/>
    </w:pPr>
  </w:style>
  <w:style w:type="paragraph" w:customStyle="1" w:styleId="p2241">
    <w:name w:val="p2241"/>
    <w:basedOn w:val="a"/>
    <w:pPr>
      <w:spacing w:before="280" w:after="280"/>
    </w:pPr>
  </w:style>
  <w:style w:type="paragraph" w:customStyle="1" w:styleId="p1583">
    <w:name w:val="p1583"/>
    <w:basedOn w:val="a"/>
    <w:pPr>
      <w:spacing w:before="280" w:after="280"/>
    </w:pPr>
  </w:style>
  <w:style w:type="paragraph" w:customStyle="1" w:styleId="p0">
    <w:name w:val="p0"/>
    <w:basedOn w:val="a"/>
    <w:pPr>
      <w:spacing w:before="280" w:after="280"/>
    </w:pPr>
  </w:style>
  <w:style w:type="paragraph" w:customStyle="1" w:styleId="p2242">
    <w:name w:val="p2242"/>
    <w:basedOn w:val="a"/>
    <w:pPr>
      <w:spacing w:before="280" w:after="280"/>
    </w:pPr>
  </w:style>
  <w:style w:type="paragraph" w:customStyle="1" w:styleId="p2243">
    <w:name w:val="p2243"/>
    <w:basedOn w:val="a"/>
    <w:pPr>
      <w:spacing w:before="280" w:after="280"/>
    </w:pPr>
  </w:style>
  <w:style w:type="paragraph" w:customStyle="1" w:styleId="p2244">
    <w:name w:val="p2244"/>
    <w:basedOn w:val="a"/>
    <w:pPr>
      <w:spacing w:before="280" w:after="280"/>
    </w:pPr>
  </w:style>
  <w:style w:type="paragraph" w:customStyle="1" w:styleId="p2245">
    <w:name w:val="p2245"/>
    <w:basedOn w:val="a"/>
    <w:pPr>
      <w:spacing w:before="280" w:after="280"/>
    </w:pPr>
  </w:style>
  <w:style w:type="paragraph" w:customStyle="1" w:styleId="p1787">
    <w:name w:val="p1787"/>
    <w:basedOn w:val="a"/>
    <w:pPr>
      <w:spacing w:before="280" w:after="280"/>
    </w:pPr>
  </w:style>
  <w:style w:type="paragraph" w:customStyle="1" w:styleId="p2122">
    <w:name w:val="p2122"/>
    <w:basedOn w:val="a"/>
    <w:pPr>
      <w:spacing w:before="280" w:after="280"/>
    </w:pPr>
  </w:style>
  <w:style w:type="paragraph" w:customStyle="1" w:styleId="p1458">
    <w:name w:val="p1458"/>
    <w:basedOn w:val="a"/>
    <w:pPr>
      <w:spacing w:before="280" w:after="280"/>
    </w:pPr>
  </w:style>
  <w:style w:type="paragraph" w:customStyle="1" w:styleId="p2246">
    <w:name w:val="p2246"/>
    <w:basedOn w:val="a"/>
    <w:pPr>
      <w:spacing w:before="280" w:after="280"/>
    </w:pPr>
  </w:style>
  <w:style w:type="paragraph" w:customStyle="1" w:styleId="p2247">
    <w:name w:val="p2247"/>
    <w:basedOn w:val="a"/>
    <w:pPr>
      <w:spacing w:before="280" w:after="280"/>
    </w:pPr>
  </w:style>
  <w:style w:type="paragraph" w:customStyle="1" w:styleId="p1948">
    <w:name w:val="p1948"/>
    <w:basedOn w:val="a"/>
    <w:pPr>
      <w:spacing w:before="280" w:after="280"/>
    </w:pPr>
  </w:style>
  <w:style w:type="paragraph" w:customStyle="1" w:styleId="p1807">
    <w:name w:val="p1807"/>
    <w:basedOn w:val="a"/>
    <w:pPr>
      <w:spacing w:before="280" w:after="280"/>
    </w:pPr>
  </w:style>
  <w:style w:type="paragraph" w:customStyle="1" w:styleId="p2248">
    <w:name w:val="p2248"/>
    <w:basedOn w:val="a"/>
    <w:pPr>
      <w:spacing w:before="280" w:after="280"/>
    </w:pPr>
  </w:style>
  <w:style w:type="paragraph" w:customStyle="1" w:styleId="p2249">
    <w:name w:val="p2249"/>
    <w:basedOn w:val="a"/>
    <w:pPr>
      <w:spacing w:before="280" w:after="280"/>
    </w:pPr>
  </w:style>
  <w:style w:type="paragraph" w:customStyle="1" w:styleId="p2250">
    <w:name w:val="p2250"/>
    <w:basedOn w:val="a"/>
    <w:pPr>
      <w:spacing w:before="280" w:after="280"/>
    </w:pPr>
  </w:style>
  <w:style w:type="paragraph" w:customStyle="1" w:styleId="p221">
    <w:name w:val="p221"/>
    <w:basedOn w:val="a"/>
    <w:pPr>
      <w:spacing w:before="280" w:after="280"/>
    </w:pPr>
  </w:style>
  <w:style w:type="paragraph" w:customStyle="1" w:styleId="p2251">
    <w:name w:val="p2251"/>
    <w:basedOn w:val="a"/>
    <w:pPr>
      <w:spacing w:before="280" w:after="280"/>
    </w:p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2558</Words>
  <Characters>14583</Characters>
  <Application>Microsoft Office Word</Application>
  <DocSecurity>0</DocSecurity>
  <Lines>121</Lines>
  <Paragraphs>34</Paragraphs>
  <ScaleCrop>false</ScaleCrop>
  <Company/>
  <LinksUpToDate>false</LinksUpToDate>
  <CharactersWithSpaces>17107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оформления титульного листа реферата</dc:title>
  <dc:subject/>
  <dc:creator>User</dc:creator>
  <cp:keywords/>
  <cp:lastModifiedBy>Igor</cp:lastModifiedBy>
  <cp:revision>3</cp:revision>
  <cp:lastPrinted>2009-09-15T08:40:00Z</cp:lastPrinted>
  <dcterms:created xsi:type="dcterms:W3CDTF">2024-10-11T05:30:00Z</dcterms:created>
  <dcterms:modified xsi:type="dcterms:W3CDTF">2024-10-11T05:30:00Z</dcterms:modified>
</cp:coreProperties>
</file>