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5" w:rsidRPr="00CC10D8" w:rsidRDefault="00432565" w:rsidP="0043256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C10D8">
        <w:rPr>
          <w:b/>
          <w:bCs/>
          <w:sz w:val="32"/>
          <w:szCs w:val="32"/>
        </w:rPr>
        <w:t>Эпидемиологическая безопасность и прикладная вакцинология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>Генетически инактивированные гоксины (рекомбинантные анатоксины)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Химическая инактивация бактериальных токсинов с помощью формальдегида предложена в 1923—1924 гг. и применяется в производстве до настоящего времени. Специалисты подчеркивают, что полученные таким способом анатоксины сохраняют способность к реверсии. Рекомбинантные анатоксины лишены потенциальной опасности химически инактивированных препаратов. В общем виде схема получения генетически инактивированных токсинов выглядит таким образом: делеция участка гена, кодирующего детоксичность, клонирование модифицированного гена, введение его в систему экспрессии, получение иммуногенного белка, лишенного токсичности. Получены генетически инактивированные токсины возбудителя коклюша, дифтерии, синегнойной инфекции, сибирской язвы, столбняка. В настоящее время АКДС-вакцина с генетически инактивированным коклюшным токсином используется в Италии.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>Терапевтические вакцины.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Терапевтические вакцины (ТВ) — это препараты, которые индуцируют развитие иммунного ответа, направленного на прекращение или смягчение (облегчение) существующего заболевания. Спектр реального или прогнозируемого применения ТВ весьма широк и включает: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-</w:t>
      </w:r>
      <w:r>
        <w:t xml:space="preserve"> </w:t>
      </w:r>
      <w:r w:rsidRPr="008F27ED">
        <w:t>хронические заболевания, ассоциированные со смешанной бактериальной или бактериально-вирусной инфекциями;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« хронические инфекции, возбудителями которых являются вирус гепатита В, вирус папилломы, вирус гепатита С, ВИЧ;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-</w:t>
      </w:r>
      <w:r>
        <w:t xml:space="preserve"> </w:t>
      </w:r>
      <w:r w:rsidRPr="008F27ED">
        <w:t>опухоли, прежде всего меланома, рак молочной железы или прямой кишки;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-</w:t>
      </w:r>
      <w:r>
        <w:t xml:space="preserve"> </w:t>
      </w:r>
      <w:r w:rsidRPr="008F27ED">
        <w:t>аллергические или аутоиммунные болезни (рассеянный склероз, диабет I типа, ревматоидный артрит).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В настоящее время на рынке широко представлены ТВ для лечения хронических воспалительных заболеваний, ассоциированных со смешанными бактериальными или бактериально-вирусными инфекциями. Имеются ТВ для терапии аутоиммунных процессов.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Перечисленные препараты получены методами классической вакцинологии. Они состоят из лизатов и антигенных комплексов штаммов условно-патогенных микроорганизмов, рассматриваемых как доминирующий возбудитель инфекций дыхательных путей или мочеполового тракта (пневмококк, стафилококк, клебсиелла, кишечная палочка т.д.).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Бактериальные ТВ вызывают развитие адаптивного иммунитета к входящим в их состав микроорганизмам, нормализуют вторичные иммунодефицита, сопровождающие хронический инфекционный процесс, и активизируют за счет входящих в их состав патогенассоции-рованных молекулярных структур врожденный иммунитет, что приводит к быстрому развитию неспецифической рези-стентности.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Разрешены для применения и используются Иммуновак-ВП-4 (Россия), Анатоксин стафилококковый очищенный (Россия), Рибомунил (Франция), СолкоУро-вак (Болгария).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Для лечения ревматоидного артрита применяют препарат Субреум, состоящий из лизата 18 штаммов кишечной палочки.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Завершены экспериментальная разработка и первые клинические испытания нового класса терапевтических вакцин (аллерготропинов) для лечения аллергии.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lastRenderedPageBreak/>
        <w:t>Прогнозируется, что к 2020 г. существенно увеличится применение в медицинской практике ТВ за счет расширения выпуска традиционных препаратов и создания вакцин нового поколения для терапии рака, аллергии и аутоиммунных болезней.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Появились сообщения об эффективности ДНК-вакцины в составе микрочастиц при лечении рака прямой кишки у мышей. Исследования были выполнены в рамках I фазы клинических испытаний.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Проведена серия доклинических испытаний и 2 клинических исследования терапевтических дендритных вакцин против ВИЧ-1. Четко продемонстрирована их способность вызывать развитие клеточного иммунитета у здоровых людей. Убедительных данных, свидетельствующих об их влиянии на развитие виремии у больных, пока не получено.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Вакцины для профилактики и иммунотерапии злокачественных заболеваний, в т. ч. дендритные вакцины.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Рассматривают два типа противораковых вакцин. Один тип направлен против новообразований, ассоциированных с вирусами или бактериями. Другой тип противораковых вакцин — это вакцины против спонтанных опухолей. Получены первые доказательства того, что вакцины против вируса гепатита В обладают несомненной способностью предупреждать развитие гепатокарциномы. Среди привитых детей, живущих на Тайване, частота развития этой опухоли сократилась на 50%, смертность от нее — на 70%.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Лицензированной вакцины против вируса папилломы пока нет. Имеются сообщения об испытании нескольких кандидатов в вакцину, различающихся по своей структуре.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В экспериментах на животных идет апробация по меньшей мере 9 ДНК-вакцин против вируса простого герпеса типа I и 6 ДНК-вакцин против этого вируса типа П.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Завершено доклиническое изучение вакцины из цельных клеток H.pylori. Проблема вакцинотерапии спонтанных опухолей разрабатывается достаточно долго. К 2000 г. стало очевидным, что использование туморассоциированных антигенов (ТАА) не дает желаемого эффекта. Это обусловлено развитием под влиянием опухолей периферической толерантности к ТАА, подавлением функции антиген-представляющих клеток ИЛ-10 или ИЛ-6, секретируемых злокачественными клетками.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Начата проверка гипотезы, согласно которой иммунологические нарушения при новообразованиях можно преодолеть и вызвать развитие специфического иммунного ответа с помощью так называемых дендритных вакцин. Предлагают разные варианты дендритных противораковых вакцин: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- дендритные клетки, обработанные туморассоциированными антигенами;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-</w:t>
      </w:r>
      <w:r>
        <w:t xml:space="preserve"> </w:t>
      </w:r>
      <w:r w:rsidRPr="008F27ED">
        <w:t>дендритные клетки, слившиеся с опухолевыми клетками;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-</w:t>
      </w:r>
      <w:r>
        <w:t xml:space="preserve"> </w:t>
      </w:r>
      <w:r w:rsidRPr="008F27ED">
        <w:t>дендритные клетки, обработанные тРНК, когда ассоциированные с опухолью неизвестны.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Следует подчеркнуть, что дендритные вакцины могут использоваться для лечения как спонтанных опухолей, так и новообразований, ассоциированных с вирусами. Имеются сообщения о первых результатах испытания дендритных противораковых вакцин на людях. Исследования проводили на ограниченных группах пациентов в IV стадии заболевания. Четко доказана безвредность вакцин. В ряде случаев наблюдали положительный клинический эффект. Высказывается предположение, что дендритные вакцины окажутся эффективными для продления безрецидивного периода онкологических больных после максимальной циторедукции хирургическим путем и/или при помощи химиотерапии.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lastRenderedPageBreak/>
        <w:t>Неинъекционные вакцины.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Необходимость разработки вакцин для непарентерального введения продиктована следующими обстоятельствами.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1.</w:t>
      </w:r>
      <w:r>
        <w:t xml:space="preserve"> </w:t>
      </w:r>
      <w:r w:rsidRPr="008F27ED">
        <w:t>Стремлением повысить безопасность процедуры вакцинации, снизить затраты на ее проведение и сделать эту процедуру более приемлемой (привлекательной) для населения. В настоящее время ребенок первых лет жизни получает в развитых странах до 17—20 лечебных и вакцинальных инъекций. Ожидается, что по мере расширения календаря прививок число инъекций будет увеличиваться.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2. Предположением, что доставка антигена в зоны локализации дендритных клеток, рассматриваемых в настоящее время как главное звено запуска иммунного ответа, существенно повысит эффективность вакцинации. Интенсивно разрабатываются вакцины для орального, назального применения и транскожной иммунизации. Первые два типа вакцин объединяются понятием мукозальные вакцины.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>Мукозальные вакцины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Преимущества мукозальных вакцин обусловлены не только удобством для пациентов, а прежде всего тем, что этот метод стимулирует иммунный ответ во входных воротах большинства известных патогенов. При этом взаимодействие антигена с определенным участком слизистой (кишечника) ведет к стимуляции иммунных реакций в мукозальной системе в целом, а также к развитию системного иммунного ответа.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Теоретически мукозальные вакцины обладают важным свойством, которое не обнаружено у парентеральных препаратов — они создают местный иммунный ответ и таким образом защищают не только против болезни, но и предупреждают развитие инфекционного процесса на слизистых (колонизацию), что ведет к уменьшению (или прекращению) горизонтальной передачи патогена от носителя к чувствительному субъекту. Предполагается, что именно</w:t>
      </w:r>
      <w:r>
        <w:t xml:space="preserve"> </w:t>
      </w:r>
      <w:r w:rsidRPr="008F27ED">
        <w:t>мукозальные вакцины станут основным инструментом в профилактике и, возможно, глобальной элиминации дифтерии, а также в борьбе с инфекциями, вызываемыми стрептококками группы В, гемофильной палочкой, клебсиеллой. Основной сложностью применения мукозальных вакцин является необходимость усиления иммунного ответа на протективный антиген с помощью специальных адъювантов. Уже начаты клинические исследования субъединичной назальной вакцины против гриппа, содержащей также му-тантный адъювант LTK63. Есть все основания предполагать, что использование данного подхода может оказаться полезным не только для создания вакцин против респираторных инфекций, но и местных вакцин против некоторых венерических заболеваний и ВИЧ. Появление таких вакцин можно ожидать уже к 2010 г.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Весьма большие надежды возлагают на иммуностимулирующий комплекс (ISCOM). Особого внимания заслуживает адъювант MF59-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>Гранскожная иммунизация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Метод основан на гипотезе, согласно которой доставка антигена непосредственно в расположение дендритных клеток позволит усилить системный иммунный ответ. Метод находится в стадии экспериментальной разработки. Изучается его эффективность на примере ДНК-вакцин. Для введения препарата используют метод genegun (частицы золота, несущие на своей поверхности антиген в струе гелия под давлением, внедряются в кожу).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>Вакцины на основе рекомбинантных белков, воспроизводимых в растениях (син.: растительные, съедобные вакцины)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Описаны два приема получения рекомбинантных белков в растениях: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lastRenderedPageBreak/>
        <w:t>1.</w:t>
      </w:r>
      <w:r>
        <w:t xml:space="preserve"> </w:t>
      </w:r>
      <w:r w:rsidRPr="008F27ED">
        <w:t>Временная экспрессия. Достигается путем введения модифицированного вируса, который несет ДНК, кодирующую протективный белок.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2. Стабильная трансформация генома растения. Такое трансгенное растение способно при выращивании синтезировать протективный антиген, который накапливается в плодах, корнях, листьях и стеблях, т. е. в съедобных частях этого растения. Для получения растительных вакцин используют табак, помидоры, картофель, бананы. В последнее время большое внимание уделяется маису. Декларируется серия преимуществ растительных вакцин по сравнению с классическими иммунопрофилактическими препаратами: безопасность, экономичность, высокая технологичность, развитие массового производства без крупных инвестиций. Пока остается много вопросов, без ответа на которые трансгенные растения (ТР) — продуценты протективных антигенов, не смогут войти в практику.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1.</w:t>
      </w:r>
      <w:r>
        <w:t xml:space="preserve"> </w:t>
      </w:r>
      <w:r w:rsidRPr="008F27ED">
        <w:t>Какова генетическая стабильность ТР, синтезирующих чужеродные антигены; каково влияние этих растений на растения того же вида и возможно ли распространение ТР естественным путем; меняется ли пищевая или иная ценность овощей, фруктов и других плодов, полученных от ТР.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2.</w:t>
      </w:r>
      <w:r>
        <w:t xml:space="preserve"> </w:t>
      </w:r>
      <w:r w:rsidRPr="008F27ED">
        <w:t>Не нарушат ли трансгенные вакцины кишечную толерантность к пищевым аллергенам.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3. Как законодательно исключить неконтролируемое выращивание и распространение трансгенных растений — продуцентов чужеродных антигенов. По-видимому, в ближайшие годы работы по получению рекомбинантных белков в трансгенных растениях не выйдут за пределы экспериментов на животных и ограниченных испытаний на людях.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 xml:space="preserve">Приоритетные для </w:t>
      </w:r>
      <w:r>
        <w:rPr>
          <w:b/>
          <w:bCs/>
          <w:sz w:val="28"/>
          <w:szCs w:val="28"/>
        </w:rPr>
        <w:t>Р</w:t>
      </w:r>
      <w:r w:rsidRPr="00CC10D8">
        <w:rPr>
          <w:b/>
          <w:bCs/>
          <w:sz w:val="28"/>
          <w:szCs w:val="28"/>
        </w:rPr>
        <w:t>оссии фундаментальные исследования и прикладные разработки в области вакцинологии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1. Исследование клеточных и молекулярных механизмов активации врожденного иммунитета при формировании антиинфе</w:t>
      </w:r>
      <w:r>
        <w:t>кц</w:t>
      </w:r>
      <w:r w:rsidRPr="008F27ED">
        <w:t>ионного и противоопухолевого иммунитета.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2.</w:t>
      </w:r>
      <w:r>
        <w:t xml:space="preserve"> </w:t>
      </w:r>
      <w:r w:rsidRPr="008F27ED">
        <w:t>Экспериментальная разработка и клиническая апробация адъювантов нового поколения для потенцирования иммуногенности генно-инженерных продуктов.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3. Получение методами обратной вакцинологии кандидатов в вакцины против ВИЧ-инфекции, инфекции вируса гепатита С и менингококковой инфекции типа В.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4. Использование метода обратной транскрипции при получении посевного штамма из актуальных штаммов вируса гриппа птиц для конструирования пандемической гриппозной вакцины.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5. Создание нового поколения средств для иммунотерапии рака (аутологичные дендритные вакцины), аллергологии (аллерготропины) и послеоперационных инфекционных осложнений (бактериальные иммуномодуляторы, пробиотики).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6.</w:t>
      </w:r>
      <w:r>
        <w:t xml:space="preserve"> </w:t>
      </w:r>
      <w:r w:rsidRPr="008F27ED">
        <w:t>Разработка</w:t>
      </w:r>
      <w:r>
        <w:t xml:space="preserve"> </w:t>
      </w:r>
      <w:r w:rsidRPr="008F27ED">
        <w:t>иммунобиологических средств для экстренной защиты от неизвестных патогенов.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7.</w:t>
      </w:r>
      <w:r>
        <w:t xml:space="preserve"> </w:t>
      </w:r>
      <w:r w:rsidRPr="008F27ED">
        <w:t>Создание вакцин календаря прививок для непарентерального введения (назальное, оральное, транскожное).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8. Разработка и внедрение в практику бесклеточной коклюшной вакцины с последующим включением ее в состав АКДС-вакцины.</w:t>
      </w:r>
    </w:p>
    <w:p w:rsidR="00432565" w:rsidRPr="008F27ED" w:rsidRDefault="00432565" w:rsidP="00432565">
      <w:pPr>
        <w:spacing w:before="120"/>
        <w:ind w:firstLine="567"/>
        <w:jc w:val="both"/>
      </w:pPr>
      <w:r w:rsidRPr="008F27ED">
        <w:t>9. Разработка и внедрение в практику новой инактивированной вакцины против полиомиелита.</w:t>
      </w:r>
      <w:r>
        <w:t xml:space="preserve"> </w:t>
      </w:r>
    </w:p>
    <w:p w:rsidR="00432565" w:rsidRPr="00CC10D8" w:rsidRDefault="00432565" w:rsidP="00432565">
      <w:pPr>
        <w:spacing w:before="120"/>
        <w:jc w:val="center"/>
        <w:rPr>
          <w:b/>
          <w:bCs/>
          <w:sz w:val="28"/>
          <w:szCs w:val="28"/>
        </w:rPr>
      </w:pPr>
      <w:r w:rsidRPr="00CC10D8">
        <w:rPr>
          <w:b/>
          <w:bCs/>
          <w:sz w:val="28"/>
          <w:szCs w:val="28"/>
        </w:rPr>
        <w:t>Список литературы</w:t>
      </w:r>
    </w:p>
    <w:p w:rsidR="00432565" w:rsidRPr="00CC10D8" w:rsidRDefault="00432565" w:rsidP="00432565">
      <w:pPr>
        <w:spacing w:before="120"/>
        <w:ind w:firstLine="567"/>
        <w:jc w:val="both"/>
      </w:pPr>
      <w:r>
        <w:t>Журнал «Ремедиум», №9, 2005 год</w:t>
      </w:r>
    </w:p>
    <w:p w:rsidR="00B42C45" w:rsidRDefault="00B42C45"/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65"/>
    <w:rsid w:val="00432565"/>
    <w:rsid w:val="00616072"/>
    <w:rsid w:val="008B35EE"/>
    <w:rsid w:val="008F27ED"/>
    <w:rsid w:val="00B42C45"/>
    <w:rsid w:val="00B47B6A"/>
    <w:rsid w:val="00CC10D8"/>
    <w:rsid w:val="00D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10406</Characters>
  <Application>Microsoft Office Word</Application>
  <DocSecurity>0</DocSecurity>
  <Lines>86</Lines>
  <Paragraphs>24</Paragraphs>
  <ScaleCrop>false</ScaleCrop>
  <Company>Home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Эпидемиологическая безопасность и прикладная вакцинология</dc:title>
  <dc:creator>User</dc:creator>
  <cp:lastModifiedBy>Igor</cp:lastModifiedBy>
  <cp:revision>2</cp:revision>
  <dcterms:created xsi:type="dcterms:W3CDTF">2024-10-04T05:50:00Z</dcterms:created>
  <dcterms:modified xsi:type="dcterms:W3CDTF">2024-10-04T05:50:00Z</dcterms:modified>
</cp:coreProperties>
</file>