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050" w:rsidRPr="002E1999" w:rsidRDefault="00DF12C5" w:rsidP="00D00050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Флеботромбоз глубоких вен</w:t>
      </w:r>
      <w:r w:rsidR="00D00050" w:rsidRPr="002E1999">
        <w:rPr>
          <w:b/>
          <w:bCs/>
          <w:sz w:val="32"/>
          <w:szCs w:val="32"/>
        </w:rPr>
        <w:t>.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Флеботромбоз глубоких вен – потенциально опасное для жизни заболевание. Тромбоз магистральных вен бедра и таза может иметь первичную локализацию в глубоких венах голени или подвздошно-бедренных венах. В первые 3-4 дня тромб слабо фиксирован к стенке сосуда, возможен отрыв тромба и тромбоэмболия ветвей легочной артерии (ТЭЛА). Через 5-6 дней присоединяется воспаление интимы, способствующее фиксации тромба -тромбофлебит глубоких вен. В США заболевание ежегодно поражает около 250000 человек.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Этиология.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Пусковыми считают следующие факторы: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травма или чрезмерное физическое напряжение;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бактериальная инфекция;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длительный постельный режим при хирургических, терапевтических, неврологических заболеваниях;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послеродовой период;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прием пероральных противозачаточных средств;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онкологические заболевания (особенно рак легких, желудка, под-желудочной железы);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ДВС- синдром.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Локализация процесса.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Клинически различают тромбоз глубоких вен голени и подвздошно-бедренный (илиофеморальный) флеботромбоз. Эмболы в легочную артерию исходят из этих сосудов приблизительно в 80-90% случаев ТЭЛА.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Более редкая локализация.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Подключичная вена.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Вены верхних конечностей и шеи (особенно при их катетеризации).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Правое предсердие.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Почечные вены (особенно при выраженной почечной патологии).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Клиническая картина.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Глубокий флеботромбоз сопровождается стойким отеком голени или всей ноги, чувством тяжести в ногах. Кожа становится глянцевой, четко выступает рисунок подкожных вен (симптом Пратта). Характерны также симптом Пайра (распространение боли по внутренней поверхности стопы, голени или бедра), симптом Хоманса (боль в голени при тыльном сгибании стопы). Также возникает боль при сдавлении голени манжетой аппарата для измерения АД при величине 80-100 мм рт.ст. (симптом Ловенберга), в то время как сдавление здоровой голени до 150-180 мм рт. ст. не вызывает неприятных ощущений. При тромбозе вен таза наблюдают легкие перитонеальные симптомы и иногда динамическую кишечную непроходимость.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Глубокий венозный тромбоз имеет классические клинические проявления лишь в 50% случаев.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В 50% случаев, подтвержденных флебографией, глубокий венозный тромбоз не сопровождается видимыми изменениями. </w:t>
      </w:r>
    </w:p>
    <w:p w:rsidR="00D00050" w:rsidRDefault="00D00050" w:rsidP="00D00050">
      <w:pPr>
        <w:spacing w:before="120"/>
        <w:ind w:firstLine="567"/>
        <w:jc w:val="both"/>
      </w:pPr>
      <w:r w:rsidRPr="007579E3">
        <w:lastRenderedPageBreak/>
        <w:t xml:space="preserve">Первым проявлением заболевания у многих больных может быть тромбоэмболия в сосуды легочной артерии.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Диагноз тромбоза глубоких вен подтверждают при помощи следующих исследований.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Флебография (дистальная восходящая) и наиболее точный диагностический метод тромбоза глубоких вен. Рентгеноконтрастное вещество вводят в одну из подкожных вен стопы ниже турникета, слегка сдавливающего лодыжку, чтобы направить движение контрастного вещества в системе глубоких вен. Если после исследования не промыть вену гепарином в 3% случаев возникает ее воспаление или тромбоз.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Допплеровское УЗИ подтверждает тромбоз глубоких вен выше уровня колена с точностью до 80-90%.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Импедансная плетизмография. После ослабления манжеты, сдавливавшей голень с силой, достаточной для временной окклюзии вен, определяют изменение объема кровенаполнения голени. Проба позволяет диагностировать глубокий венозный тромбоз выше уровня колена с точностью до 90%.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- Сканирование с использованием меченного фибриногена. Для определения включения радиоактивного фибриногена в сгусток крови выполняют серийное сканирование обеих нижних конечностей. Метод наиболее эффективен для диагностики тромбоза вен голени.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Лечение.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Всем больным с флеботромбозом показано лечение в условиях хирургического стационара. Назначают строгий постельный режим в течение 7-10 дней с возвышенным положением больной конечности.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Гепарин вводят в/в на протяжении 7-10 дней. При развитиии осложнений (например ТЭЛА) или риске повторных эмболий срок терапии антикоагулянтами увеличивают. Продолжительность приема антикоагулянтов непрямого действия зависит от тяжести заболевания.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Тромболитическая терапия (стрептокиназа или эдюкиназа) эффективна в самой ранней, обычно редко распознаваемой, стадии венозного тромбоза. На более поздних сроках тромболизис может вызвать фрагментацию тромба и возникновение ТЭЛА.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При диагностике флотирующего тромбоза показана остановка в нижнюю полую вену кава-фильтра ниже почечных вен или проведение различных оперативных вмешательств, препятствующих миграции тромба в систему легочой артерии с последующим проведением тромболитической и антикоагулянтной терапии. Тромболитическая терапия без остановки кава-фильтра при илеоморальном тромбозе противопоказана, т.к. она способствует миграции тромбов в легочную артерию с развитием TЭЛA 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Профилактика.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Простейшие превентивные меры включают ранние движения после операции, использование эластических чулок (сдавливающих поверхностные вены ноги и увеличивающие кровоток в глубоких венах), а также исключение факторов риска.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Периодическая компрессия голени при помощи пневматической манжеты увеличивает скорость кровотока по нижним конечностям и помогает предотвратить стаз крови.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Веноконстрикторы (например, дигидроэрготамин, детралекс) также увеличивают скорость кровотока по глубоким венам. </w:t>
      </w:r>
    </w:p>
    <w:p w:rsidR="00D00050" w:rsidRPr="007579E3" w:rsidRDefault="00D00050" w:rsidP="00D00050">
      <w:pPr>
        <w:spacing w:before="120"/>
        <w:ind w:firstLine="567"/>
        <w:jc w:val="both"/>
      </w:pPr>
      <w:r w:rsidRPr="007579E3">
        <w:t xml:space="preserve">Гепарин, назначаемый в профилактических дозах до и после операции, может эффективно предупреждать тромбоз глубоких вен. Его подкожное введение повторяют многократно через каждые 4-6 ч. </w:t>
      </w:r>
    </w:p>
    <w:p w:rsidR="00D00050" w:rsidRPr="002E1999" w:rsidRDefault="00D00050" w:rsidP="00D00050">
      <w:pPr>
        <w:spacing w:before="120"/>
        <w:jc w:val="center"/>
        <w:rPr>
          <w:b/>
          <w:bCs/>
          <w:sz w:val="28"/>
          <w:szCs w:val="28"/>
        </w:rPr>
      </w:pPr>
      <w:r w:rsidRPr="002E1999">
        <w:rPr>
          <w:b/>
          <w:bCs/>
          <w:sz w:val="28"/>
          <w:szCs w:val="28"/>
        </w:rPr>
        <w:lastRenderedPageBreak/>
        <w:t>Список литературы</w:t>
      </w:r>
    </w:p>
    <w:p w:rsidR="00D00050" w:rsidRDefault="00D00050" w:rsidP="00D00050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D00050" w:rsidRDefault="00D00050"/>
    <w:sectPr w:rsidR="00D00050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50"/>
    <w:rsid w:val="002E1999"/>
    <w:rsid w:val="003E2EE0"/>
    <w:rsid w:val="007579E3"/>
    <w:rsid w:val="008A2C5B"/>
    <w:rsid w:val="00D00050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C767CB-FE35-4806-ADB1-442C5A40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0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00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4590</Characters>
  <Application>Microsoft Office Word</Application>
  <DocSecurity>0</DocSecurity>
  <Lines>38</Lines>
  <Paragraphs>10</Paragraphs>
  <ScaleCrop>false</ScaleCrop>
  <Company>Home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Флеботромбоз глубоких вен</dc:title>
  <dc:subject/>
  <dc:creator>Alena</dc:creator>
  <cp:keywords/>
  <dc:description/>
  <cp:lastModifiedBy>Igor</cp:lastModifiedBy>
  <cp:revision>3</cp:revision>
  <dcterms:created xsi:type="dcterms:W3CDTF">2024-10-08T17:09:00Z</dcterms:created>
  <dcterms:modified xsi:type="dcterms:W3CDTF">2024-10-08T17:09:00Z</dcterms:modified>
</cp:coreProperties>
</file>