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AB" w:rsidRPr="00F960C5" w:rsidRDefault="004A37AB" w:rsidP="00F960C5">
      <w:pPr>
        <w:jc w:val="center"/>
        <w:rPr>
          <w:rFonts w:ascii="Arial Black" w:hAnsi="Arial Black"/>
          <w:color w:val="FFFFFF"/>
        </w:rPr>
      </w:pPr>
      <w:bookmarkStart w:id="0" w:name="_GoBack"/>
      <w:bookmarkEnd w:id="0"/>
      <w:r w:rsidRPr="00F960C5">
        <w:rPr>
          <w:rFonts w:ascii="Arial Black" w:hAnsi="Arial Black"/>
          <w:color w:val="FFFFFF"/>
          <w:highlight w:val="black"/>
        </w:rPr>
        <w:t xml:space="preserve">Геморрагический </w:t>
      </w:r>
      <w:proofErr w:type="spellStart"/>
      <w:r w:rsidRPr="00F960C5">
        <w:rPr>
          <w:rFonts w:ascii="Arial Black" w:hAnsi="Arial Black"/>
          <w:color w:val="FFFFFF"/>
          <w:highlight w:val="black"/>
        </w:rPr>
        <w:t>васкулит</w:t>
      </w:r>
      <w:proofErr w:type="spellEnd"/>
    </w:p>
    <w:p w:rsidR="004A37AB" w:rsidRDefault="004A37AB" w:rsidP="004A37AB"/>
    <w:p w:rsidR="001A5B02" w:rsidRDefault="004A37AB" w:rsidP="004A37AB">
      <w:r>
        <w:t xml:space="preserve">Геморрагический </w:t>
      </w:r>
      <w:proofErr w:type="spellStart"/>
      <w:r>
        <w:t>васкулит</w:t>
      </w:r>
      <w:proofErr w:type="spellEnd"/>
      <w:r>
        <w:t xml:space="preserve"> (ГВ, геморрагический иммунный </w:t>
      </w:r>
      <w:proofErr w:type="spellStart"/>
      <w:r>
        <w:t>микротромбоваскулит</w:t>
      </w:r>
      <w:proofErr w:type="spellEnd"/>
      <w:r>
        <w:t xml:space="preserve">, болезнь </w:t>
      </w:r>
      <w:proofErr w:type="spellStart"/>
      <w:r>
        <w:t>Шенлейна-Геноха</w:t>
      </w:r>
      <w:proofErr w:type="spellEnd"/>
      <w:r>
        <w:t xml:space="preserve">)--- одно из </w:t>
      </w:r>
      <w:proofErr w:type="spellStart"/>
      <w:r>
        <w:t>самыхраспространённых</w:t>
      </w:r>
      <w:proofErr w:type="spellEnd"/>
      <w:r>
        <w:t xml:space="preserve"> и хорошо известных врачам геморрагических заболеваний, относящихся к </w:t>
      </w:r>
      <w:proofErr w:type="spellStart"/>
      <w:r>
        <w:t>гиперсенситивным</w:t>
      </w:r>
      <w:proofErr w:type="spellEnd"/>
      <w:r>
        <w:t xml:space="preserve"> васкулитам, в основе которого лежит асептическое воспаление и дезорганизация стенок </w:t>
      </w:r>
      <w:proofErr w:type="spellStart"/>
      <w:r>
        <w:t>миккрсосудов</w:t>
      </w:r>
      <w:proofErr w:type="spellEnd"/>
      <w:r>
        <w:t xml:space="preserve">, множественное </w:t>
      </w:r>
      <w:proofErr w:type="spellStart"/>
      <w:r>
        <w:t>микротромбообразование</w:t>
      </w:r>
      <w:proofErr w:type="spellEnd"/>
      <w:r>
        <w:t xml:space="preserve">, поражающее как сосуды кожи, так и сосуды внутренних органов. Чаще встречаются у детей до 14 лет, у которых регистрируется в отношении 23-25 на 10000 </w:t>
      </w:r>
      <w:r w:rsidRPr="004A37AB">
        <w:t>[</w:t>
      </w:r>
      <w:proofErr w:type="spellStart"/>
      <w:r>
        <w:t>Папьян</w:t>
      </w:r>
      <w:proofErr w:type="spellEnd"/>
      <w:r>
        <w:t xml:space="preserve"> А. </w:t>
      </w:r>
      <w:r w:rsidR="001A5B02">
        <w:t>В.,  1982</w:t>
      </w:r>
      <w:r w:rsidRPr="004A37AB">
        <w:t>]</w:t>
      </w:r>
    </w:p>
    <w:p w:rsidR="004A37AB" w:rsidRDefault="001A5B02" w:rsidP="004A37AB">
      <w:r>
        <w:t xml:space="preserve">Этиология и патогенез. Этиология неизвестна. Возможна связь со стрептококковой и вирусной инфекцией. </w:t>
      </w:r>
      <w:proofErr w:type="spellStart"/>
      <w:r>
        <w:t>Провоцирующимим</w:t>
      </w:r>
      <w:proofErr w:type="spellEnd"/>
      <w:r>
        <w:t xml:space="preserve"> факторами наряду с инфекциями служат прививки, пищевая и лекарственная аллергия, охлаждение, сенсибилизация эндогенными белками  и метаболитами. Во многих случаях определить провоцирующий фактор не удаётся. Отмечена  связь заболевания с аллергической наследственностью</w:t>
      </w:r>
      <w:r w:rsidRPr="00A159BF">
        <w:t>[</w:t>
      </w:r>
      <w:r>
        <w:t>Герасименко Н. С</w:t>
      </w:r>
      <w:r w:rsidR="00A159BF">
        <w:t>., 1971</w:t>
      </w:r>
      <w:r w:rsidRPr="00A159BF">
        <w:t>]</w:t>
      </w:r>
      <w:r w:rsidR="00A159BF">
        <w:t>.</w:t>
      </w:r>
    </w:p>
    <w:p w:rsidR="00A159BF" w:rsidRDefault="00A159BF" w:rsidP="004A37AB">
      <w:r>
        <w:t xml:space="preserve">В настоящее время доказана принадлежность ГВ к </w:t>
      </w:r>
      <w:proofErr w:type="spellStart"/>
      <w:r>
        <w:t>иммунокомплексным</w:t>
      </w:r>
      <w:proofErr w:type="spellEnd"/>
      <w:r>
        <w:t xml:space="preserve"> заболеваниям, при которых </w:t>
      </w:r>
      <w:proofErr w:type="spellStart"/>
      <w:r>
        <w:t>микрососуды</w:t>
      </w:r>
      <w:proofErr w:type="spellEnd"/>
      <w:r>
        <w:t xml:space="preserve"> подвергаются асептическому  воспалению с более или менее глубокой деструкцией стенок, </w:t>
      </w:r>
      <w:proofErr w:type="spellStart"/>
      <w:r>
        <w:t>тромбированием</w:t>
      </w:r>
      <w:proofErr w:type="spellEnd"/>
      <w:r>
        <w:t xml:space="preserve"> и образованием экстравазатов вследствие повреждающего действия циркулирующих низкомолекулярных иммунных комплексов и активированных компонентов системы комплемента</w:t>
      </w:r>
      <w:r w:rsidRPr="00A159BF">
        <w:t>[</w:t>
      </w:r>
      <w:r>
        <w:t xml:space="preserve">Воробьёв А. И.  и др., 1979;   </w:t>
      </w:r>
      <w:proofErr w:type="spellStart"/>
      <w:r>
        <w:t>Ананченко</w:t>
      </w:r>
      <w:proofErr w:type="spellEnd"/>
      <w:r>
        <w:t xml:space="preserve"> В. Г.,  </w:t>
      </w:r>
      <w:proofErr w:type="spellStart"/>
      <w:r>
        <w:t>Ишмухаметов</w:t>
      </w:r>
      <w:proofErr w:type="spellEnd"/>
      <w:r>
        <w:t xml:space="preserve"> А. А.,  1982, и др.</w:t>
      </w:r>
      <w:r w:rsidRPr="00A159BF">
        <w:t>]</w:t>
      </w:r>
      <w:r>
        <w:t>.</w:t>
      </w:r>
    </w:p>
    <w:p w:rsidR="00A159BF" w:rsidRDefault="00A159BF" w:rsidP="004A37AB"/>
    <w:p w:rsidR="00A159BF" w:rsidRDefault="00A159BF" w:rsidP="004A37AB"/>
    <w:p w:rsidR="00A159BF" w:rsidRDefault="00A159BF" w:rsidP="004A37AB">
      <w:r>
        <w:t xml:space="preserve">Комплексы антиген-антитело(А-А) при </w:t>
      </w:r>
      <w:proofErr w:type="spellStart"/>
      <w:r>
        <w:t>эквимолярном</w:t>
      </w:r>
      <w:proofErr w:type="spellEnd"/>
      <w:r>
        <w:t xml:space="preserve"> их </w:t>
      </w:r>
      <w:proofErr w:type="spellStart"/>
      <w:r>
        <w:t>соотношениив</w:t>
      </w:r>
      <w:proofErr w:type="spellEnd"/>
      <w:r>
        <w:t xml:space="preserve"> плазме, как известно, </w:t>
      </w:r>
      <w:proofErr w:type="spellStart"/>
      <w:r w:rsidR="00143F12">
        <w:t>преципитируют</w:t>
      </w:r>
      <w:proofErr w:type="spellEnd"/>
      <w:r w:rsidR="00143F12">
        <w:t xml:space="preserve"> и элиминируются из циркуляции </w:t>
      </w:r>
      <w:proofErr w:type="spellStart"/>
      <w:r w:rsidR="00143F12">
        <w:t>фагоцитирующими</w:t>
      </w:r>
      <w:proofErr w:type="spellEnd"/>
      <w:r w:rsidR="00143F12">
        <w:t xml:space="preserve"> клетками. Растворимые или циркулирующие комплексы образуют при значительном количественном преобладании антигена над антителами. Именно они и активируемый ими </w:t>
      </w:r>
      <w:proofErr w:type="spellStart"/>
      <w:r w:rsidR="00143F12">
        <w:t>коплимент</w:t>
      </w:r>
      <w:proofErr w:type="spellEnd"/>
      <w:r w:rsidR="00143F12">
        <w:t xml:space="preserve"> вызывают </w:t>
      </w:r>
      <w:proofErr w:type="spellStart"/>
      <w:r w:rsidR="00143F12">
        <w:t>васкулит</w:t>
      </w:r>
      <w:proofErr w:type="spellEnd"/>
      <w:r w:rsidR="00143F12">
        <w:t xml:space="preserve"> с </w:t>
      </w:r>
      <w:proofErr w:type="spellStart"/>
      <w:r w:rsidR="00143F12">
        <w:t>фибриноидным</w:t>
      </w:r>
      <w:proofErr w:type="spellEnd"/>
      <w:r w:rsidR="00143F12">
        <w:t xml:space="preserve"> некрозом, </w:t>
      </w:r>
      <w:proofErr w:type="spellStart"/>
      <w:r w:rsidR="00143F12">
        <w:t>периваскулярным</w:t>
      </w:r>
      <w:proofErr w:type="spellEnd"/>
      <w:r w:rsidR="00143F12">
        <w:t xml:space="preserve"> отёком, блокадой </w:t>
      </w:r>
      <w:proofErr w:type="spellStart"/>
      <w:r w:rsidR="00143F12">
        <w:t>микроциркуляции</w:t>
      </w:r>
      <w:proofErr w:type="spellEnd"/>
      <w:r w:rsidR="00143F12">
        <w:t xml:space="preserve">, лейкоцитарной инфильтрацией, геморрагиями и дистрофическими </w:t>
      </w:r>
      <w:proofErr w:type="spellStart"/>
      <w:r w:rsidR="00143F12">
        <w:t>изменениямивплоть</w:t>
      </w:r>
      <w:proofErr w:type="spellEnd"/>
      <w:r w:rsidR="00143F12">
        <w:t xml:space="preserve"> до некрозов в очагах поражения. </w:t>
      </w:r>
      <w:r w:rsidR="00C11403">
        <w:t xml:space="preserve">Процесс близок к ДВС синдрому, которым может осложняться , но отличается </w:t>
      </w:r>
      <w:proofErr w:type="spellStart"/>
      <w:r w:rsidR="00C11403">
        <w:t>мелкоочаговостью</w:t>
      </w:r>
      <w:proofErr w:type="spellEnd"/>
      <w:r w:rsidR="00C11403">
        <w:t xml:space="preserve">, </w:t>
      </w:r>
      <w:proofErr w:type="spellStart"/>
      <w:r w:rsidR="00C11403">
        <w:t>рпистеночностью</w:t>
      </w:r>
      <w:proofErr w:type="spellEnd"/>
      <w:r w:rsidR="00C11403">
        <w:t xml:space="preserve">, нормальным или повышенным содержанием в плазме фибриногена, отсутствием тромбоцитопении потребления и </w:t>
      </w:r>
      <w:proofErr w:type="spellStart"/>
      <w:r w:rsidR="00C11403">
        <w:t>др-их</w:t>
      </w:r>
      <w:proofErr w:type="spellEnd"/>
      <w:r w:rsidR="00C11403">
        <w:t xml:space="preserve"> проявлений ДВС. Поэтому его правильнее обозначать как </w:t>
      </w:r>
      <w:proofErr w:type="spellStart"/>
      <w:r w:rsidR="00C11403">
        <w:t>микротромбоваскулит</w:t>
      </w:r>
      <w:proofErr w:type="spellEnd"/>
      <w:r w:rsidR="00C11403">
        <w:t>.</w:t>
      </w:r>
    </w:p>
    <w:p w:rsidR="00C11403" w:rsidRPr="00A159BF" w:rsidRDefault="00C11403" w:rsidP="004A37AB">
      <w:r>
        <w:t xml:space="preserve">Наряду с указанным выше основным патогенетическим механизмом при ряде вариантов болезни отмечается более или менее выраженное участие в процессе клеточно-опосредованных иммунных механизмов. Активированные антигеном и иммунными комплексами моноциты и лимфоциты скапливаются в участках поражения, освобождают </w:t>
      </w:r>
      <w:proofErr w:type="spellStart"/>
      <w:r>
        <w:t>монокины</w:t>
      </w:r>
      <w:proofErr w:type="spellEnd"/>
      <w:r>
        <w:t xml:space="preserve">, тканевый </w:t>
      </w:r>
      <w:proofErr w:type="spellStart"/>
      <w:r>
        <w:t>тромбопластин</w:t>
      </w:r>
      <w:proofErr w:type="spellEnd"/>
      <w:r>
        <w:t xml:space="preserve">, </w:t>
      </w:r>
      <w:proofErr w:type="spellStart"/>
      <w:r>
        <w:t>лимфокины</w:t>
      </w:r>
      <w:proofErr w:type="spellEnd"/>
      <w:r>
        <w:t xml:space="preserve">, </w:t>
      </w:r>
      <w:proofErr w:type="spellStart"/>
      <w:r>
        <w:t>лизосомальные</w:t>
      </w:r>
      <w:proofErr w:type="spellEnd"/>
      <w:r>
        <w:t xml:space="preserve"> энзимы и другие компоненты</w:t>
      </w:r>
      <w:r w:rsidR="00F41170">
        <w:t xml:space="preserve">, в результате чего усиливаются дезорганизация сосудистой стенки и локальное </w:t>
      </w:r>
      <w:proofErr w:type="spellStart"/>
      <w:r w:rsidR="00F41170">
        <w:t>тромбообразование</w:t>
      </w:r>
      <w:proofErr w:type="spellEnd"/>
      <w:r w:rsidR="00F41170">
        <w:t xml:space="preserve">, образуются </w:t>
      </w:r>
      <w:proofErr w:type="spellStart"/>
      <w:r w:rsidR="00F41170">
        <w:t>периваскулярные</w:t>
      </w:r>
      <w:proofErr w:type="spellEnd"/>
      <w:r w:rsidR="00F41170">
        <w:t xml:space="preserve"> гранулёмы.</w:t>
      </w:r>
    </w:p>
    <w:p w:rsidR="00F41170" w:rsidRDefault="00F41170" w:rsidP="004A37AB"/>
    <w:p w:rsidR="004A37AB" w:rsidRDefault="00F41170" w:rsidP="00F41170">
      <w:pPr>
        <w:ind w:firstLine="708"/>
      </w:pPr>
      <w:r>
        <w:t xml:space="preserve">Особо выделяются отличающиеся большим упорством течения </w:t>
      </w:r>
      <w:proofErr w:type="spellStart"/>
      <w:r>
        <w:t>васкулиты</w:t>
      </w:r>
      <w:proofErr w:type="spellEnd"/>
      <w:r>
        <w:t xml:space="preserve"> со смешанной </w:t>
      </w:r>
      <w:proofErr w:type="spellStart"/>
      <w:r>
        <w:t>криоглобулинемией</w:t>
      </w:r>
      <w:proofErr w:type="spellEnd"/>
      <w:r>
        <w:t xml:space="preserve"> 2-го и 3-го типов, в том числе и с </w:t>
      </w:r>
      <w:proofErr w:type="spellStart"/>
      <w:r>
        <w:t>ревматоидным</w:t>
      </w:r>
      <w:proofErr w:type="spellEnd"/>
      <w:r>
        <w:t xml:space="preserve"> фактором, с Холодовыми крапивницей и отёками типа </w:t>
      </w:r>
      <w:proofErr w:type="spellStart"/>
      <w:r>
        <w:t>Квинке</w:t>
      </w:r>
      <w:proofErr w:type="spellEnd"/>
      <w:r>
        <w:t xml:space="preserve">, с синдромом </w:t>
      </w:r>
      <w:proofErr w:type="spellStart"/>
      <w:r>
        <w:t>Рейно</w:t>
      </w:r>
      <w:proofErr w:type="spellEnd"/>
      <w:r>
        <w:t xml:space="preserve">, а также вторичные (симптоматические) формы  при </w:t>
      </w:r>
      <w:proofErr w:type="spellStart"/>
      <w:r>
        <w:t>ревматоидном</w:t>
      </w:r>
      <w:proofErr w:type="spellEnd"/>
      <w:r>
        <w:t xml:space="preserve"> артрите и других иммунных заболеваниях, лейкозах и т.д.</w:t>
      </w:r>
    </w:p>
    <w:p w:rsidR="00F41170" w:rsidRDefault="00F41170" w:rsidP="00F41170">
      <w:pPr>
        <w:ind w:firstLine="708"/>
      </w:pPr>
      <w:r>
        <w:t xml:space="preserve">В различных классификациях все эти формы трактуются либо как особые варианты одной болезни </w:t>
      </w:r>
      <w:proofErr w:type="spellStart"/>
      <w:r>
        <w:t>Шенлейна-Геноха</w:t>
      </w:r>
      <w:proofErr w:type="spellEnd"/>
      <w:r>
        <w:t xml:space="preserve">. Вместе с тем их идентификация и чёткое выделение как </w:t>
      </w:r>
      <w:proofErr w:type="spellStart"/>
      <w:r>
        <w:t>патогенетически</w:t>
      </w:r>
      <w:proofErr w:type="spellEnd"/>
      <w:r>
        <w:t xml:space="preserve"> особых форм настоятельно необходимо</w:t>
      </w:r>
      <w:r w:rsidR="00563092">
        <w:t xml:space="preserve">, ибо предопределяет терапию и прогноз. Несомненна также принадлежность всех перечисленных форм к группе </w:t>
      </w:r>
      <w:proofErr w:type="spellStart"/>
      <w:r w:rsidR="00563092">
        <w:t>гиперсенситивных</w:t>
      </w:r>
      <w:proofErr w:type="spellEnd"/>
      <w:r w:rsidR="00563092">
        <w:t xml:space="preserve"> </w:t>
      </w:r>
      <w:proofErr w:type="spellStart"/>
      <w:r w:rsidR="00563092">
        <w:t>имунокомплексных</w:t>
      </w:r>
      <w:proofErr w:type="spellEnd"/>
      <w:r w:rsidR="00563092">
        <w:t xml:space="preserve">  </w:t>
      </w:r>
      <w:proofErr w:type="spellStart"/>
      <w:r w:rsidR="00563092">
        <w:t>васкулитов</w:t>
      </w:r>
      <w:proofErr w:type="spellEnd"/>
      <w:r w:rsidR="00563092">
        <w:t>.</w:t>
      </w:r>
    </w:p>
    <w:p w:rsidR="00563092" w:rsidRDefault="00563092" w:rsidP="00F41170">
      <w:pPr>
        <w:ind w:firstLine="708"/>
      </w:pPr>
      <w:r>
        <w:t xml:space="preserve">Классификация. В неё входит общепринятое деление болезни по клиническим вариантам </w:t>
      </w:r>
      <w:proofErr w:type="spellStart"/>
      <w:r>
        <w:t>итечению</w:t>
      </w:r>
      <w:proofErr w:type="spellEnd"/>
      <w:r>
        <w:t xml:space="preserve">, но и по патогенетическим формам и особенностям ряда лабораторных  характеристик </w:t>
      </w:r>
      <w:r w:rsidRPr="00563092">
        <w:t>[</w:t>
      </w:r>
      <w:proofErr w:type="spellStart"/>
      <w:r>
        <w:t>Баркаган</w:t>
      </w:r>
      <w:proofErr w:type="spellEnd"/>
      <w:r>
        <w:t xml:space="preserve"> З. С.,  1981-1982</w:t>
      </w:r>
      <w:r w:rsidRPr="00563092">
        <w:t>]</w:t>
      </w:r>
      <w:r>
        <w:t xml:space="preserve">; классификация облегчает разграничение разных форм </w:t>
      </w:r>
      <w:proofErr w:type="spellStart"/>
      <w:r>
        <w:t>васкулита</w:t>
      </w:r>
      <w:proofErr w:type="spellEnd"/>
      <w:r>
        <w:t xml:space="preserve">, указывает на необходимые исследования для их </w:t>
      </w:r>
      <w:r>
        <w:lastRenderedPageBreak/>
        <w:t>идентификации, подсказывает целесообразность использования тех или иных терапевтических воздействий.</w:t>
      </w:r>
    </w:p>
    <w:p w:rsidR="00DE496B" w:rsidRDefault="00DE496B" w:rsidP="00F41170">
      <w:pPr>
        <w:ind w:firstLine="708"/>
      </w:pPr>
    </w:p>
    <w:p w:rsidR="00DE496B" w:rsidRDefault="00DE496B" w:rsidP="00F41170">
      <w:pPr>
        <w:ind w:firstLine="708"/>
      </w:pPr>
    </w:p>
    <w:p w:rsidR="00DE496B" w:rsidRPr="004B63D7" w:rsidRDefault="00DE496B" w:rsidP="00DE496B">
      <w:pPr>
        <w:ind w:firstLine="708"/>
        <w:jc w:val="center"/>
        <w:rPr>
          <w:spacing w:val="54"/>
        </w:rPr>
      </w:pPr>
      <w:r w:rsidRPr="004B63D7">
        <w:rPr>
          <w:spacing w:val="54"/>
        </w:rPr>
        <w:t>КЛАССИФИКАЦИЯ         ИММУНОКОМПЛЕКСНОГО МИКРОТРОМБОВАСКУЛИТА</w:t>
      </w:r>
    </w:p>
    <w:p w:rsidR="00DE496B" w:rsidRPr="004B63D7" w:rsidRDefault="00DE496B" w:rsidP="00DE496B">
      <w:pPr>
        <w:rPr>
          <w:spacing w:val="54"/>
        </w:rPr>
      </w:pPr>
    </w:p>
    <w:p w:rsidR="00DE496B" w:rsidRPr="00DE496B" w:rsidRDefault="00DE496B" w:rsidP="00DE496B">
      <w:pPr>
        <w:tabs>
          <w:tab w:val="left" w:pos="3180"/>
        </w:tabs>
      </w:pPr>
      <w:r>
        <w:tab/>
      </w:r>
    </w:p>
    <w:tbl>
      <w:tblPr>
        <w:tblStyle w:val="a3"/>
        <w:tblW w:w="0" w:type="auto"/>
        <w:tblInd w:w="-972" w:type="dxa"/>
        <w:tblLook w:val="01E0" w:firstRow="1" w:lastRow="1" w:firstColumn="1" w:lastColumn="1" w:noHBand="0" w:noVBand="0"/>
      </w:tblPr>
      <w:tblGrid>
        <w:gridCol w:w="5757"/>
        <w:gridCol w:w="4786"/>
      </w:tblGrid>
      <w:tr w:rsidR="00DE496B">
        <w:tc>
          <w:tcPr>
            <w:tcW w:w="5757" w:type="dxa"/>
          </w:tcPr>
          <w:p w:rsidR="00DE496B" w:rsidRPr="004B63D7" w:rsidRDefault="00DE496B" w:rsidP="00DE496B">
            <w:pPr>
              <w:tabs>
                <w:tab w:val="left" w:pos="3180"/>
              </w:tabs>
              <w:rPr>
                <w:spacing w:val="28"/>
              </w:rPr>
            </w:pPr>
            <w:r w:rsidRPr="004B63D7">
              <w:rPr>
                <w:spacing w:val="28"/>
              </w:rPr>
              <w:t>ОСНОВНЫЕ ВАРИАНТЫ</w:t>
            </w:r>
          </w:p>
        </w:tc>
        <w:tc>
          <w:tcPr>
            <w:tcW w:w="4786" w:type="dxa"/>
          </w:tcPr>
          <w:p w:rsidR="00DE496B" w:rsidRPr="004B63D7" w:rsidRDefault="00DE496B" w:rsidP="004B63D7">
            <w:pPr>
              <w:tabs>
                <w:tab w:val="left" w:pos="3180"/>
              </w:tabs>
              <w:jc w:val="center"/>
              <w:rPr>
                <w:b/>
              </w:rPr>
            </w:pPr>
            <w:r w:rsidRPr="004B63D7">
              <w:rPr>
                <w:b/>
              </w:rPr>
              <w:t>Патогенетические и клинические особенности</w:t>
            </w:r>
          </w:p>
        </w:tc>
      </w:tr>
      <w:tr w:rsidR="00DE496B">
        <w:tc>
          <w:tcPr>
            <w:tcW w:w="10543" w:type="dxa"/>
            <w:gridSpan w:val="2"/>
          </w:tcPr>
          <w:p w:rsidR="00DE496B" w:rsidRPr="00F72358" w:rsidRDefault="00DE496B" w:rsidP="00DE496B">
            <w:pPr>
              <w:tabs>
                <w:tab w:val="left" w:pos="3150"/>
              </w:tabs>
              <w:rPr>
                <w:rFonts w:ascii="Arial Black" w:hAnsi="Arial Black"/>
              </w:rPr>
            </w:pPr>
            <w:r>
              <w:tab/>
            </w:r>
            <w:smartTag w:uri="urn:schemas-microsoft-com:office:smarttags" w:element="place">
              <w:r w:rsidRPr="00F72358">
                <w:rPr>
                  <w:rFonts w:ascii="Arial Black" w:hAnsi="Arial Black"/>
                  <w:lang w:val="en-US"/>
                </w:rPr>
                <w:t>I</w:t>
              </w:r>
              <w:r w:rsidRPr="00F72358">
                <w:rPr>
                  <w:rFonts w:ascii="Arial Black" w:hAnsi="Arial Black"/>
                </w:rPr>
                <w:t>.</w:t>
              </w:r>
            </w:smartTag>
            <w:r w:rsidRPr="00F72358">
              <w:rPr>
                <w:rFonts w:ascii="Arial Black" w:hAnsi="Arial Black"/>
              </w:rPr>
              <w:t xml:space="preserve"> патогенетические   ФОРМЫ</w:t>
            </w:r>
          </w:p>
        </w:tc>
      </w:tr>
      <w:tr w:rsidR="00DE496B">
        <w:tc>
          <w:tcPr>
            <w:tcW w:w="5757" w:type="dxa"/>
          </w:tcPr>
          <w:p w:rsidR="00DE496B" w:rsidRDefault="00DE496B" w:rsidP="00DE496B">
            <w:pPr>
              <w:tabs>
                <w:tab w:val="left" w:pos="3180"/>
              </w:tabs>
            </w:pPr>
            <w:r>
              <w:t xml:space="preserve">Базисная форма пурпуры </w:t>
            </w:r>
            <w:proofErr w:type="spellStart"/>
            <w:r>
              <w:t>Шенлейна</w:t>
            </w:r>
            <w:proofErr w:type="spellEnd"/>
            <w:r>
              <w:t xml:space="preserve"> – </w:t>
            </w:r>
            <w:proofErr w:type="spellStart"/>
            <w:r>
              <w:t>Геноха</w:t>
            </w:r>
            <w:proofErr w:type="spellEnd"/>
            <w:r>
              <w:t>:</w:t>
            </w:r>
          </w:p>
          <w:p w:rsidR="00DE496B" w:rsidRDefault="00DE496B" w:rsidP="00DE496B">
            <w:pPr>
              <w:tabs>
                <w:tab w:val="left" w:pos="3180"/>
              </w:tabs>
            </w:pPr>
            <w:r>
              <w:t xml:space="preserve">Без </w:t>
            </w:r>
            <w:proofErr w:type="spellStart"/>
            <w:r>
              <w:t>сещественного</w:t>
            </w:r>
            <w:proofErr w:type="spellEnd"/>
            <w:r>
              <w:t xml:space="preserve"> повышения иммунных комплексов в плазме</w:t>
            </w:r>
          </w:p>
          <w:p w:rsidR="00DE496B" w:rsidRDefault="00DE496B" w:rsidP="00DE496B">
            <w:pPr>
              <w:tabs>
                <w:tab w:val="left" w:pos="3180"/>
              </w:tabs>
            </w:pPr>
            <w:r>
              <w:t>Со значительным повышением иммунных комплексов в плазме</w:t>
            </w:r>
          </w:p>
        </w:tc>
        <w:tc>
          <w:tcPr>
            <w:tcW w:w="4786" w:type="dxa"/>
          </w:tcPr>
          <w:p w:rsidR="00DE496B" w:rsidRDefault="0098671B" w:rsidP="00DE496B">
            <w:pPr>
              <w:tabs>
                <w:tab w:val="left" w:pos="3180"/>
              </w:tabs>
            </w:pPr>
            <w:proofErr w:type="spellStart"/>
            <w:r>
              <w:t>Имунокомплексная</w:t>
            </w:r>
            <w:proofErr w:type="spellEnd"/>
            <w:r>
              <w:t xml:space="preserve">( преимущественно без тромбоцитопении. Выраженного гемолиза, </w:t>
            </w:r>
            <w:proofErr w:type="spellStart"/>
            <w:r>
              <w:t>ревматоидного</w:t>
            </w:r>
            <w:proofErr w:type="spellEnd"/>
            <w:r>
              <w:t xml:space="preserve"> фактора, выраженной </w:t>
            </w:r>
            <w:proofErr w:type="spellStart"/>
            <w:r>
              <w:t>лейкокластической</w:t>
            </w:r>
            <w:proofErr w:type="spellEnd"/>
            <w:r>
              <w:t xml:space="preserve"> реакции и некрозов)</w:t>
            </w:r>
          </w:p>
          <w:p w:rsidR="0098671B" w:rsidRDefault="0098671B" w:rsidP="00DE496B">
            <w:pPr>
              <w:tabs>
                <w:tab w:val="left" w:pos="3180"/>
              </w:tabs>
            </w:pPr>
          </w:p>
          <w:p w:rsidR="0098671B" w:rsidRDefault="0098671B" w:rsidP="00DE496B">
            <w:pPr>
              <w:tabs>
                <w:tab w:val="left" w:pos="3180"/>
              </w:tabs>
            </w:pPr>
          </w:p>
        </w:tc>
      </w:tr>
      <w:tr w:rsidR="00DE496B">
        <w:tc>
          <w:tcPr>
            <w:tcW w:w="5757" w:type="dxa"/>
          </w:tcPr>
          <w:p w:rsidR="00DE496B" w:rsidRDefault="0098671B" w:rsidP="00DE496B">
            <w:pPr>
              <w:tabs>
                <w:tab w:val="left" w:pos="3180"/>
              </w:tabs>
            </w:pPr>
            <w:r>
              <w:t>НЕКРОТИЧЕСКАЯ ФОРМА</w:t>
            </w:r>
          </w:p>
        </w:tc>
        <w:tc>
          <w:tcPr>
            <w:tcW w:w="4786" w:type="dxa"/>
          </w:tcPr>
          <w:p w:rsidR="00DE496B" w:rsidRDefault="0098671B" w:rsidP="00DE496B">
            <w:pPr>
              <w:tabs>
                <w:tab w:val="left" w:pos="3180"/>
              </w:tabs>
            </w:pPr>
            <w:r>
              <w:t xml:space="preserve">ТО же + выраженная </w:t>
            </w:r>
            <w:proofErr w:type="spellStart"/>
            <w:r>
              <w:t>лейкокластическая</w:t>
            </w:r>
            <w:proofErr w:type="spellEnd"/>
            <w:r>
              <w:t xml:space="preserve"> реакция с некрозами в местах кожных высыпаний</w:t>
            </w:r>
          </w:p>
          <w:p w:rsidR="0098671B" w:rsidRDefault="0098671B" w:rsidP="00DE496B">
            <w:pPr>
              <w:tabs>
                <w:tab w:val="left" w:pos="3180"/>
              </w:tabs>
            </w:pPr>
          </w:p>
        </w:tc>
      </w:tr>
      <w:tr w:rsidR="00DE496B">
        <w:tc>
          <w:tcPr>
            <w:tcW w:w="5757" w:type="dxa"/>
          </w:tcPr>
          <w:p w:rsidR="00DE496B" w:rsidRPr="004B63D7" w:rsidRDefault="0098671B" w:rsidP="00DE496B">
            <w:pPr>
              <w:tabs>
                <w:tab w:val="left" w:pos="3180"/>
              </w:tabs>
              <w:rPr>
                <w:rFonts w:ascii="MS Reference Sans Serif" w:hAnsi="MS Reference Sans Serif"/>
              </w:rPr>
            </w:pPr>
            <w:r w:rsidRPr="004B63D7">
              <w:rPr>
                <w:rFonts w:ascii="MS Reference Sans Serif" w:hAnsi="MS Reference Sans Serif"/>
              </w:rPr>
              <w:t xml:space="preserve">Формы с </w:t>
            </w:r>
            <w:proofErr w:type="spellStart"/>
            <w:r w:rsidRPr="004B63D7">
              <w:rPr>
                <w:rFonts w:ascii="MS Reference Sans Serif" w:hAnsi="MS Reference Sans Serif"/>
              </w:rPr>
              <w:t>криоглобулинемией</w:t>
            </w:r>
            <w:proofErr w:type="spellEnd"/>
            <w:r w:rsidRPr="004B63D7">
              <w:rPr>
                <w:rFonts w:ascii="MS Reference Sans Serif" w:hAnsi="MS Reference Sans Serif"/>
              </w:rPr>
              <w:t xml:space="preserve"> и / или </w:t>
            </w:r>
            <w:proofErr w:type="spellStart"/>
            <w:r w:rsidRPr="004B63D7">
              <w:rPr>
                <w:rFonts w:ascii="MS Reference Sans Serif" w:hAnsi="MS Reference Sans Serif"/>
              </w:rPr>
              <w:t>моноклоновой</w:t>
            </w:r>
            <w:proofErr w:type="spellEnd"/>
            <w:r w:rsidRPr="004B63D7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4B63D7">
              <w:rPr>
                <w:rFonts w:ascii="MS Reference Sans Serif" w:hAnsi="MS Reference Sans Serif"/>
              </w:rPr>
              <w:t>парапротеинемией</w:t>
            </w:r>
            <w:proofErr w:type="spellEnd"/>
            <w:r w:rsidRPr="004B63D7">
              <w:rPr>
                <w:rFonts w:ascii="MS Reference Sans Serif" w:hAnsi="MS Reference Sans Serif"/>
              </w:rPr>
              <w:t>:</w:t>
            </w:r>
          </w:p>
          <w:p w:rsidR="0098671B" w:rsidRDefault="0098671B" w:rsidP="00DE496B">
            <w:pPr>
              <w:tabs>
                <w:tab w:val="left" w:pos="3180"/>
              </w:tabs>
            </w:pPr>
            <w:r>
              <w:t>С Холодовой крапивницей и отёками</w:t>
            </w:r>
          </w:p>
          <w:p w:rsidR="0098671B" w:rsidRDefault="0098671B" w:rsidP="00DE496B">
            <w:pPr>
              <w:tabs>
                <w:tab w:val="left" w:pos="3180"/>
              </w:tabs>
            </w:pPr>
            <w:r>
              <w:t>Без Холодовой крапивницы и отёков</w:t>
            </w:r>
          </w:p>
          <w:p w:rsidR="0098671B" w:rsidRDefault="0098671B" w:rsidP="00DE496B">
            <w:pPr>
              <w:tabs>
                <w:tab w:val="left" w:pos="3180"/>
              </w:tabs>
            </w:pPr>
            <w:r>
              <w:t xml:space="preserve">Вторичные формы при </w:t>
            </w:r>
            <w:proofErr w:type="spellStart"/>
            <w:r>
              <w:t>лимфомах</w:t>
            </w:r>
            <w:proofErr w:type="spellEnd"/>
            <w:r>
              <w:t xml:space="preserve">, лимфогранулематозе, </w:t>
            </w:r>
            <w:proofErr w:type="spellStart"/>
            <w:r>
              <w:t>миеломной</w:t>
            </w:r>
            <w:proofErr w:type="spellEnd"/>
            <w:r>
              <w:t xml:space="preserve"> болезни, </w:t>
            </w:r>
            <w:proofErr w:type="spellStart"/>
            <w:r>
              <w:t>лимфолейкозе</w:t>
            </w:r>
            <w:proofErr w:type="spellEnd"/>
            <w:r>
              <w:t xml:space="preserve"> и других опухолях, а также при системных заболеваниях</w:t>
            </w:r>
          </w:p>
          <w:p w:rsidR="004644A3" w:rsidRDefault="004644A3" w:rsidP="00DE496B">
            <w:pPr>
              <w:tabs>
                <w:tab w:val="left" w:pos="3180"/>
              </w:tabs>
            </w:pPr>
          </w:p>
        </w:tc>
        <w:tc>
          <w:tcPr>
            <w:tcW w:w="4786" w:type="dxa"/>
          </w:tcPr>
          <w:p w:rsidR="00DE496B" w:rsidRPr="004644A3" w:rsidRDefault="004644A3" w:rsidP="00DE496B">
            <w:pPr>
              <w:tabs>
                <w:tab w:val="left" w:pos="3180"/>
              </w:tabs>
            </w:pPr>
            <w:r>
              <w:t xml:space="preserve">Преимущественно с высоким уровнем </w:t>
            </w:r>
            <w:proofErr w:type="spellStart"/>
            <w:r>
              <w:rPr>
                <w:lang w:val="en-US"/>
              </w:rPr>
              <w:t>Ig</w:t>
            </w:r>
            <w:proofErr w:type="spellEnd"/>
            <w:r w:rsidRPr="004644A3">
              <w:t xml:space="preserve"> </w:t>
            </w:r>
            <w:r>
              <w:rPr>
                <w:lang w:val="en-US"/>
              </w:rPr>
              <w:t>M</w:t>
            </w:r>
            <w:r>
              <w:t xml:space="preserve">, + </w:t>
            </w:r>
            <w:proofErr w:type="spellStart"/>
            <w:r>
              <w:t>СИА-тестом</w:t>
            </w:r>
            <w:proofErr w:type="spellEnd"/>
            <w:r>
              <w:t xml:space="preserve">, </w:t>
            </w:r>
            <w:proofErr w:type="spellStart"/>
            <w:r>
              <w:t>криоглобулинами</w:t>
            </w:r>
            <w:proofErr w:type="spellEnd"/>
            <w:r>
              <w:t xml:space="preserve"> в сыворотке крови, синдромом </w:t>
            </w:r>
            <w:proofErr w:type="spellStart"/>
            <w:r>
              <w:t>Рейно</w:t>
            </w:r>
            <w:proofErr w:type="spellEnd"/>
            <w:r>
              <w:t>.</w:t>
            </w:r>
          </w:p>
        </w:tc>
      </w:tr>
      <w:tr w:rsidR="00F72358">
        <w:tc>
          <w:tcPr>
            <w:tcW w:w="10543" w:type="dxa"/>
            <w:gridSpan w:val="2"/>
          </w:tcPr>
          <w:p w:rsidR="00F72358" w:rsidRDefault="00F72358" w:rsidP="00DE496B">
            <w:pPr>
              <w:tabs>
                <w:tab w:val="left" w:pos="3180"/>
              </w:tabs>
            </w:pPr>
            <w:r>
              <w:t>СМЕШАННЫЕ ВАРИАНТЫ</w:t>
            </w:r>
          </w:p>
        </w:tc>
      </w:tr>
      <w:tr w:rsidR="00F72358">
        <w:trPr>
          <w:trHeight w:val="1955"/>
        </w:trPr>
        <w:tc>
          <w:tcPr>
            <w:tcW w:w="10543" w:type="dxa"/>
            <w:gridSpan w:val="2"/>
          </w:tcPr>
          <w:p w:rsidR="00F72358" w:rsidRDefault="00F72358" w:rsidP="004644A3">
            <w:pPr>
              <w:tabs>
                <w:tab w:val="left" w:pos="3180"/>
              </w:tabs>
              <w:jc w:val="center"/>
              <w:rPr>
                <w:rFonts w:ascii="Arial Black" w:hAnsi="Arial Black"/>
              </w:rPr>
            </w:pPr>
            <w:r w:rsidRPr="00F72358">
              <w:rPr>
                <w:rFonts w:ascii="Arial Black" w:hAnsi="Arial Black"/>
                <w:lang w:val="en-US"/>
              </w:rPr>
              <w:t>II</w:t>
            </w:r>
            <w:r w:rsidRPr="00F72358">
              <w:rPr>
                <w:rFonts w:ascii="Arial Black" w:hAnsi="Arial Black"/>
              </w:rPr>
              <w:t>. клинические формы (синдромы)</w:t>
            </w:r>
          </w:p>
          <w:p w:rsidR="00F960C5" w:rsidRPr="00F72358" w:rsidRDefault="00F960C5" w:rsidP="004644A3">
            <w:pPr>
              <w:tabs>
                <w:tab w:val="left" w:pos="3180"/>
              </w:tabs>
              <w:jc w:val="center"/>
              <w:rPr>
                <w:rFonts w:ascii="Arial Black" w:hAnsi="Arial Black"/>
              </w:rPr>
            </w:pPr>
          </w:p>
          <w:p w:rsidR="00F72358" w:rsidRDefault="00F72358" w:rsidP="00DE496B">
            <w:pPr>
              <w:tabs>
                <w:tab w:val="left" w:pos="3180"/>
              </w:tabs>
            </w:pPr>
            <w:r w:rsidRPr="004B63D7">
              <w:rPr>
                <w:highlight w:val="lightGray"/>
                <w:u w:val="words"/>
              </w:rPr>
              <w:t>Кожная и кожно-суставная</w:t>
            </w:r>
            <w:r w:rsidRPr="004B63D7">
              <w:rPr>
                <w:highlight w:val="lightGray"/>
              </w:rPr>
              <w:t>:</w:t>
            </w:r>
            <w:r>
              <w:t xml:space="preserve">          простая,        некротическая,     с холодной крапивницей и отёками                                      </w:t>
            </w:r>
          </w:p>
          <w:p w:rsidR="00F72358" w:rsidRPr="004B63D7" w:rsidRDefault="00F72358" w:rsidP="00DE496B">
            <w:pPr>
              <w:tabs>
                <w:tab w:val="left" w:pos="3180"/>
              </w:tabs>
              <w:rPr>
                <w:spacing w:val="34"/>
                <w:u w:val="single"/>
              </w:rPr>
            </w:pPr>
            <w:r w:rsidRPr="004B63D7">
              <w:rPr>
                <w:spacing w:val="34"/>
                <w:u w:val="single"/>
              </w:rPr>
              <w:t>Абдоминальная и абдоминально-кожная</w:t>
            </w:r>
          </w:p>
          <w:p w:rsidR="00F72358" w:rsidRPr="004B63D7" w:rsidRDefault="00F72358" w:rsidP="00DE496B">
            <w:pPr>
              <w:tabs>
                <w:tab w:val="left" w:pos="3180"/>
              </w:tabs>
              <w:rPr>
                <w:spacing w:val="34"/>
                <w:u w:val="single"/>
              </w:rPr>
            </w:pPr>
            <w:r w:rsidRPr="004B63D7">
              <w:rPr>
                <w:spacing w:val="34"/>
                <w:u w:val="single"/>
              </w:rPr>
              <w:t>С поражением других органов</w:t>
            </w:r>
          </w:p>
          <w:p w:rsidR="00F72358" w:rsidRPr="004B63D7" w:rsidRDefault="00F72358" w:rsidP="00DE496B">
            <w:pPr>
              <w:tabs>
                <w:tab w:val="left" w:pos="3180"/>
              </w:tabs>
              <w:rPr>
                <w:u w:val="single"/>
              </w:rPr>
            </w:pPr>
            <w:r w:rsidRPr="004B63D7">
              <w:rPr>
                <w:spacing w:val="34"/>
                <w:u w:val="single"/>
              </w:rPr>
              <w:t>Почечная и кожно-почечная(</w:t>
            </w:r>
            <w:r w:rsidRPr="004B63D7">
              <w:rPr>
                <w:u w:val="single"/>
              </w:rPr>
              <w:t>в том числе с нефротическим синдромом)</w:t>
            </w:r>
          </w:p>
          <w:p w:rsidR="00F72358" w:rsidRPr="004B63D7" w:rsidRDefault="00F72358" w:rsidP="00DE496B">
            <w:pPr>
              <w:tabs>
                <w:tab w:val="left" w:pos="3180"/>
              </w:tabs>
              <w:rPr>
                <w:spacing w:val="36"/>
                <w:u w:val="single"/>
              </w:rPr>
            </w:pPr>
            <w:r w:rsidRPr="004B63D7">
              <w:rPr>
                <w:spacing w:val="36"/>
                <w:u w:val="single"/>
              </w:rPr>
              <w:t>Смешанные формы</w:t>
            </w:r>
          </w:p>
          <w:p w:rsidR="00F72358" w:rsidRPr="004644A3" w:rsidRDefault="00F72358" w:rsidP="00DE496B">
            <w:pPr>
              <w:tabs>
                <w:tab w:val="left" w:pos="3180"/>
              </w:tabs>
            </w:pPr>
          </w:p>
        </w:tc>
      </w:tr>
      <w:tr w:rsidR="00F72358">
        <w:trPr>
          <w:trHeight w:val="1105"/>
        </w:trPr>
        <w:tc>
          <w:tcPr>
            <w:tcW w:w="10543" w:type="dxa"/>
            <w:gridSpan w:val="2"/>
          </w:tcPr>
          <w:p w:rsidR="00F72358" w:rsidRPr="00F72358" w:rsidRDefault="00F72358" w:rsidP="00F72358">
            <w:pPr>
              <w:tabs>
                <w:tab w:val="left" w:pos="3180"/>
              </w:tabs>
              <w:jc w:val="center"/>
              <w:rPr>
                <w:rFonts w:ascii="Arial Black" w:hAnsi="Arial Black"/>
              </w:rPr>
            </w:pPr>
            <w:r w:rsidRPr="00F72358">
              <w:rPr>
                <w:rFonts w:ascii="Arial Black" w:hAnsi="Arial Black"/>
                <w:lang w:val="en-US"/>
              </w:rPr>
              <w:t>III.</w:t>
            </w:r>
            <w:r w:rsidRPr="00F72358">
              <w:rPr>
                <w:rFonts w:ascii="Arial Black" w:hAnsi="Arial Black"/>
              </w:rPr>
              <w:t xml:space="preserve"> варианты течения</w:t>
            </w:r>
          </w:p>
          <w:p w:rsidR="00F72358" w:rsidRDefault="00F72358" w:rsidP="00DE496B">
            <w:pPr>
              <w:tabs>
                <w:tab w:val="left" w:pos="3180"/>
              </w:tabs>
            </w:pPr>
            <w:r>
              <w:t xml:space="preserve">Молниеносное, Острое, Затяжное, рецидивирующее, Хроническое: </w:t>
            </w:r>
            <w:proofErr w:type="spellStart"/>
            <w:r>
              <w:t>персистирующее</w:t>
            </w:r>
            <w:proofErr w:type="spellEnd"/>
            <w:r>
              <w:t xml:space="preserve"> с обострениями(частыми, редкими)</w:t>
            </w:r>
          </w:p>
          <w:p w:rsidR="00F72358" w:rsidRDefault="00F72358" w:rsidP="00DE496B">
            <w:pPr>
              <w:tabs>
                <w:tab w:val="left" w:pos="3180"/>
              </w:tabs>
            </w:pPr>
          </w:p>
        </w:tc>
      </w:tr>
      <w:tr w:rsidR="002A38E6">
        <w:tc>
          <w:tcPr>
            <w:tcW w:w="10543" w:type="dxa"/>
            <w:gridSpan w:val="2"/>
          </w:tcPr>
          <w:p w:rsidR="002A38E6" w:rsidRDefault="002A38E6" w:rsidP="00F72358">
            <w:pPr>
              <w:tabs>
                <w:tab w:val="left" w:pos="3180"/>
              </w:tabs>
              <w:jc w:val="center"/>
            </w:pPr>
            <w:r w:rsidRPr="00F72358">
              <w:rPr>
                <w:rFonts w:ascii="Arial Black" w:hAnsi="Arial Black"/>
                <w:lang w:val="en-US"/>
              </w:rPr>
              <w:t>IV.</w:t>
            </w:r>
            <w:r w:rsidRPr="00F72358">
              <w:rPr>
                <w:rFonts w:ascii="Arial Black" w:hAnsi="Arial Black"/>
              </w:rPr>
              <w:t xml:space="preserve"> степени активности</w:t>
            </w:r>
            <w:r>
              <w:t>.</w:t>
            </w:r>
          </w:p>
          <w:p w:rsidR="00F72358" w:rsidRDefault="00F72358" w:rsidP="00F72358">
            <w:pPr>
              <w:tabs>
                <w:tab w:val="left" w:pos="3180"/>
              </w:tabs>
              <w:jc w:val="center"/>
            </w:pPr>
            <w:r>
              <w:t>Малая, умеренная, высокая, очень высокая</w:t>
            </w:r>
          </w:p>
          <w:p w:rsidR="00F960C5" w:rsidRDefault="00F960C5" w:rsidP="00F72358">
            <w:pPr>
              <w:tabs>
                <w:tab w:val="left" w:pos="3180"/>
              </w:tabs>
              <w:jc w:val="center"/>
            </w:pPr>
          </w:p>
        </w:tc>
      </w:tr>
      <w:tr w:rsidR="00F72358">
        <w:trPr>
          <w:trHeight w:val="2043"/>
        </w:trPr>
        <w:tc>
          <w:tcPr>
            <w:tcW w:w="10543" w:type="dxa"/>
            <w:gridSpan w:val="2"/>
          </w:tcPr>
          <w:p w:rsidR="00F72358" w:rsidRPr="00F72358" w:rsidRDefault="00F72358" w:rsidP="00F72358">
            <w:pPr>
              <w:tabs>
                <w:tab w:val="left" w:pos="4350"/>
              </w:tabs>
              <w:rPr>
                <w:rFonts w:ascii="Arial Black" w:hAnsi="Arial Black"/>
              </w:rPr>
            </w:pPr>
            <w:r>
              <w:tab/>
            </w:r>
            <w:r w:rsidRPr="00F72358">
              <w:rPr>
                <w:rFonts w:ascii="Arial Black" w:hAnsi="Arial Black"/>
                <w:lang w:val="en-US"/>
              </w:rPr>
              <w:t>V</w:t>
            </w:r>
            <w:r w:rsidRPr="00F72358">
              <w:rPr>
                <w:rFonts w:ascii="Arial Black" w:hAnsi="Arial Black"/>
              </w:rPr>
              <w:t xml:space="preserve">. осложнения </w:t>
            </w:r>
          </w:p>
          <w:p w:rsidR="00F72358" w:rsidRDefault="00F72358" w:rsidP="00F72358">
            <w:pPr>
              <w:tabs>
                <w:tab w:val="left" w:pos="4350"/>
              </w:tabs>
            </w:pPr>
            <w:r>
              <w:t>Кишечная непроходимость, перфорации,</w:t>
            </w:r>
            <w:r w:rsidR="004B63D7">
              <w:t xml:space="preserve"> перитонит, панкреатит</w:t>
            </w:r>
          </w:p>
          <w:p w:rsidR="004B63D7" w:rsidRDefault="004B63D7" w:rsidP="00F72358">
            <w:pPr>
              <w:tabs>
                <w:tab w:val="left" w:pos="4350"/>
              </w:tabs>
            </w:pPr>
            <w:proofErr w:type="spellStart"/>
            <w:r>
              <w:t>ДВС-синдром</w:t>
            </w:r>
            <w:proofErr w:type="spellEnd"/>
            <w:r>
              <w:t xml:space="preserve"> с </w:t>
            </w:r>
            <w:proofErr w:type="spellStart"/>
            <w:r>
              <w:t>тромбоцитопений</w:t>
            </w:r>
            <w:proofErr w:type="spellEnd"/>
            <w:r>
              <w:t xml:space="preserve">, снижением уровня </w:t>
            </w:r>
            <w:proofErr w:type="spellStart"/>
            <w:r>
              <w:t>антитромбина</w:t>
            </w:r>
            <w:proofErr w:type="spellEnd"/>
            <w:r>
              <w:t xml:space="preserve"> </w:t>
            </w:r>
            <w:r>
              <w:rPr>
                <w:lang w:val="en-US"/>
              </w:rPr>
              <w:t>III</w:t>
            </w:r>
            <w:r>
              <w:t xml:space="preserve">, протеина С и компонентов системы </w:t>
            </w:r>
            <w:proofErr w:type="spellStart"/>
            <w:r>
              <w:t>фибринолиза</w:t>
            </w:r>
            <w:proofErr w:type="spellEnd"/>
            <w:r>
              <w:t xml:space="preserve">, повышение ПДФ,                                 </w:t>
            </w:r>
          </w:p>
          <w:p w:rsidR="004B63D7" w:rsidRDefault="004B63D7" w:rsidP="00F72358">
            <w:pPr>
              <w:tabs>
                <w:tab w:val="left" w:pos="4350"/>
              </w:tabs>
            </w:pPr>
            <w:r>
              <w:t>Постгеморрагическая анемия,</w:t>
            </w:r>
          </w:p>
          <w:p w:rsidR="004B63D7" w:rsidRPr="004B63D7" w:rsidRDefault="004B63D7" w:rsidP="00F72358">
            <w:pPr>
              <w:tabs>
                <w:tab w:val="left" w:pos="4350"/>
              </w:tabs>
            </w:pPr>
            <w:r>
              <w:t>Тромбозы и инфаркты в органах, в том числе церебральные расстройства, невриты.</w:t>
            </w:r>
          </w:p>
        </w:tc>
      </w:tr>
    </w:tbl>
    <w:p w:rsidR="00DE496B" w:rsidRDefault="00DE496B" w:rsidP="00DE496B">
      <w:pPr>
        <w:tabs>
          <w:tab w:val="left" w:pos="3180"/>
        </w:tabs>
      </w:pPr>
    </w:p>
    <w:p w:rsidR="00732E4F" w:rsidRPr="00F1752B" w:rsidRDefault="00732E4F" w:rsidP="00F1752B">
      <w:pPr>
        <w:tabs>
          <w:tab w:val="left" w:pos="3180"/>
        </w:tabs>
        <w:jc w:val="center"/>
        <w:rPr>
          <w:b/>
          <w:i/>
          <w:sz w:val="36"/>
          <w:szCs w:val="36"/>
        </w:rPr>
      </w:pPr>
      <w:r w:rsidRPr="00F1752B">
        <w:rPr>
          <w:b/>
          <w:i/>
          <w:sz w:val="36"/>
          <w:szCs w:val="36"/>
        </w:rPr>
        <w:lastRenderedPageBreak/>
        <w:t>Клиническая картина.</w:t>
      </w:r>
    </w:p>
    <w:p w:rsidR="00732E4F" w:rsidRDefault="00732E4F" w:rsidP="00C37F57">
      <w:pPr>
        <w:tabs>
          <w:tab w:val="left" w:pos="3180"/>
        </w:tabs>
        <w:jc w:val="both"/>
      </w:pPr>
      <w:r>
        <w:t xml:space="preserve">КОЖНЫЙ СИНДРОМ встречается наиболее часто  и характеризуется симметричным появлением на конечностях, ягодицах и реже на туловище </w:t>
      </w:r>
      <w:proofErr w:type="spellStart"/>
      <w:r>
        <w:t>папулёзно-геморагической</w:t>
      </w:r>
      <w:proofErr w:type="spellEnd"/>
      <w:r>
        <w:t xml:space="preserve"> сыпи иногда с </w:t>
      </w:r>
      <w:proofErr w:type="spellStart"/>
      <w:r>
        <w:t>уртикарными</w:t>
      </w:r>
      <w:proofErr w:type="spellEnd"/>
      <w:r>
        <w:t xml:space="preserve"> элементами. Высыпания </w:t>
      </w:r>
      <w:proofErr w:type="spellStart"/>
      <w:r>
        <w:t>мономорфны</w:t>
      </w:r>
      <w:proofErr w:type="spellEnd"/>
      <w:r>
        <w:t>, имеют отчетливо выраженную в начальном периоде воспалительную основу, во многих случаях пальпируемые, т.е. на ощупь определяются как уплотнения или возвышения.</w:t>
      </w:r>
    </w:p>
    <w:p w:rsidR="00732E4F" w:rsidRDefault="00732E4F" w:rsidP="00C37F57">
      <w:pPr>
        <w:tabs>
          <w:tab w:val="left" w:pos="3180"/>
        </w:tabs>
        <w:jc w:val="both"/>
      </w:pPr>
    </w:p>
    <w:p w:rsidR="00732E4F" w:rsidRDefault="00732E4F" w:rsidP="00C37F57">
      <w:pPr>
        <w:tabs>
          <w:tab w:val="left" w:pos="3180"/>
        </w:tabs>
        <w:jc w:val="both"/>
      </w:pPr>
      <w:r>
        <w:t>СУСТАВНОЙ СИНДРОМ возникает часто вместе с кожным или спустя несколько часов или дней после него. В крупных суставах (коленных и др.)отмечается боль разной интенсивности.</w:t>
      </w:r>
    </w:p>
    <w:p w:rsidR="00732E4F" w:rsidRDefault="00732E4F" w:rsidP="00C37F57">
      <w:pPr>
        <w:tabs>
          <w:tab w:val="left" w:pos="3180"/>
        </w:tabs>
        <w:jc w:val="both"/>
      </w:pPr>
    </w:p>
    <w:p w:rsidR="00732E4F" w:rsidRDefault="00732E4F" w:rsidP="00C37F57">
      <w:pPr>
        <w:tabs>
          <w:tab w:val="left" w:pos="3180"/>
        </w:tabs>
        <w:jc w:val="both"/>
      </w:pPr>
      <w:r>
        <w:t xml:space="preserve">Абдоминальный СИНДРОМ часто наблюдается в детском возрасте (у 54-72 % больных), причём </w:t>
      </w:r>
      <w:r w:rsidRPr="00732E4F">
        <w:t>~</w:t>
      </w:r>
      <w:r>
        <w:t xml:space="preserve"> у 1/3 он доминирует в клинической картине</w:t>
      </w:r>
      <w:r w:rsidR="007D7D0B">
        <w:t>, а в ряде случаев предшествует кожным изменениям. Что особенно затрудняет правильную диагностику</w:t>
      </w:r>
      <w:r w:rsidR="007D7D0B" w:rsidRPr="007D7D0B">
        <w:t>[</w:t>
      </w:r>
      <w:r w:rsidR="007D7D0B">
        <w:t xml:space="preserve">Данилина З. А., 1961;   </w:t>
      </w:r>
      <w:proofErr w:type="spellStart"/>
      <w:r w:rsidR="007D7D0B">
        <w:t>Нетахата</w:t>
      </w:r>
      <w:proofErr w:type="spellEnd"/>
      <w:r w:rsidR="007D7D0B">
        <w:t xml:space="preserve"> Ж. Н.,  Зубова В. А., 1966, 1969;   </w:t>
      </w:r>
      <w:proofErr w:type="spellStart"/>
      <w:r w:rsidR="007D7D0B">
        <w:t>Папаян</w:t>
      </w:r>
      <w:proofErr w:type="spellEnd"/>
      <w:r w:rsidR="007D7D0B">
        <w:t xml:space="preserve"> А. В.,  1982;    </w:t>
      </w:r>
      <w:r w:rsidR="007D7D0B">
        <w:rPr>
          <w:lang w:val="en-US"/>
        </w:rPr>
        <w:t>Miller</w:t>
      </w:r>
      <w:r w:rsidR="007D7D0B" w:rsidRPr="007D7D0B">
        <w:t xml:space="preserve"> </w:t>
      </w:r>
      <w:r w:rsidR="007D7D0B">
        <w:rPr>
          <w:lang w:val="en-US"/>
        </w:rPr>
        <w:t>W</w:t>
      </w:r>
      <w:r w:rsidR="007D7D0B" w:rsidRPr="007D7D0B">
        <w:t>., 1973 ].</w:t>
      </w:r>
    </w:p>
    <w:p w:rsidR="007D7D0B" w:rsidRDefault="007D7D0B" w:rsidP="00C37F57">
      <w:pPr>
        <w:tabs>
          <w:tab w:val="left" w:pos="3180"/>
        </w:tabs>
        <w:jc w:val="both"/>
      </w:pPr>
      <w:r>
        <w:t xml:space="preserve">ОСНОВНОЙ признак сильная боль в животе, постоянная или схваткообразная, </w:t>
      </w:r>
      <w:proofErr w:type="spellStart"/>
      <w:r>
        <w:t>достигащая</w:t>
      </w:r>
      <w:proofErr w:type="spellEnd"/>
      <w:r>
        <w:t xml:space="preserve"> иногда настолько большой интенсивности, что больные корчатся в постели и </w:t>
      </w:r>
      <w:proofErr w:type="spellStart"/>
      <w:r>
        <w:t>втечение</w:t>
      </w:r>
      <w:proofErr w:type="spellEnd"/>
      <w:r>
        <w:t xml:space="preserve"> многих часов кричат.</w:t>
      </w:r>
    </w:p>
    <w:p w:rsidR="007D7D0B" w:rsidRDefault="007D7D0B" w:rsidP="00C37F57">
      <w:pPr>
        <w:tabs>
          <w:tab w:val="left" w:pos="3180"/>
        </w:tabs>
        <w:jc w:val="both"/>
      </w:pPr>
      <w:r>
        <w:t xml:space="preserve">Периоды сильной боли могут чередоваться с совершенно </w:t>
      </w:r>
      <w:proofErr w:type="spellStart"/>
      <w:r>
        <w:t>безболевыми</w:t>
      </w:r>
      <w:proofErr w:type="spellEnd"/>
      <w:r>
        <w:t xml:space="preserve"> промежутками, продолжающимися </w:t>
      </w:r>
      <w:r w:rsidRPr="007D7D0B">
        <w:t xml:space="preserve"> ~</w:t>
      </w:r>
      <w:r>
        <w:t xml:space="preserve"> 1-3 часа. Это облегчает дифференциацию абдоминального синдрома с острыми хирургическими заболеваниями органов брюшной полости. Особенно трудна такая дифференциация при отсутствии кожно-суставных проявлений и наличии симптомов раздражения брюшины</w:t>
      </w:r>
      <w:r w:rsidR="00792431">
        <w:t xml:space="preserve">. Чаще всего абдоминальный синдром стимулирует ОКН (инвагинацию), аппендицит, </w:t>
      </w:r>
      <w:proofErr w:type="spellStart"/>
      <w:r w:rsidR="00792431">
        <w:t>перекрут</w:t>
      </w:r>
      <w:proofErr w:type="spellEnd"/>
      <w:r w:rsidR="00792431">
        <w:t xml:space="preserve"> кисты яичника, прободение язвы кишечника.</w:t>
      </w:r>
    </w:p>
    <w:p w:rsidR="00792431" w:rsidRDefault="00792431" w:rsidP="00C37F57">
      <w:pPr>
        <w:tabs>
          <w:tab w:val="left" w:pos="3180"/>
        </w:tabs>
        <w:jc w:val="both"/>
        <w:rPr>
          <w:lang w:val="en-US"/>
        </w:rPr>
      </w:pPr>
      <w:r>
        <w:t xml:space="preserve">Дифференциальная диагностика трудна ещё и потому что, сам геморрагический </w:t>
      </w:r>
      <w:proofErr w:type="spellStart"/>
      <w:r>
        <w:t>васкулит</w:t>
      </w:r>
      <w:proofErr w:type="spellEnd"/>
      <w:r>
        <w:t xml:space="preserve"> может стать причиной </w:t>
      </w:r>
      <w:proofErr w:type="spellStart"/>
      <w:r>
        <w:t>развитиявсех</w:t>
      </w:r>
      <w:proofErr w:type="spellEnd"/>
      <w:r>
        <w:t xml:space="preserve"> перечисленных хирургических заболеваний органов брюшной полости. Так , например, немало случаев развития инвагинации и непроходимости кишки в связи со </w:t>
      </w:r>
      <w:proofErr w:type="spellStart"/>
      <w:r>
        <w:t>сдавлением</w:t>
      </w:r>
      <w:proofErr w:type="spellEnd"/>
      <w:r>
        <w:t xml:space="preserve"> или закрытием её просвета гематомой(особенно у детей  в возрасте до 2 лет), в связи с некрозом кишки и её перфорацией, острым аппендицитом и другими осложнениями, требующими </w:t>
      </w:r>
      <w:proofErr w:type="spellStart"/>
      <w:r>
        <w:t>ургентного</w:t>
      </w:r>
      <w:proofErr w:type="spellEnd"/>
      <w:r>
        <w:t xml:space="preserve"> хирургического вмешательства</w:t>
      </w:r>
      <w:r w:rsidRPr="00792431">
        <w:t>[</w:t>
      </w:r>
      <w:proofErr w:type="spellStart"/>
      <w:r>
        <w:t>Ксензов</w:t>
      </w:r>
      <w:proofErr w:type="spellEnd"/>
      <w:r>
        <w:t xml:space="preserve"> Д. Г.,  1959;   Данилина З. А.,  1961;  Матвеев М.П.,   1971;   </w:t>
      </w:r>
      <w:proofErr w:type="spellStart"/>
      <w:r>
        <w:rPr>
          <w:lang w:val="en-US"/>
        </w:rPr>
        <w:t>Frison</w:t>
      </w:r>
      <w:proofErr w:type="spellEnd"/>
      <w:r w:rsidRPr="00792431">
        <w:t xml:space="preserve"> </w:t>
      </w:r>
      <w:r>
        <w:rPr>
          <w:lang w:val="en-US"/>
        </w:rPr>
        <w:t>B</w:t>
      </w:r>
      <w:r w:rsidRPr="00792431">
        <w:t xml:space="preserve">.   </w:t>
      </w:r>
      <w:proofErr w:type="spellStart"/>
      <w:r>
        <w:rPr>
          <w:lang w:val="en-US"/>
        </w:rPr>
        <w:t>Vives</w:t>
      </w:r>
      <w:proofErr w:type="spellEnd"/>
      <w:r>
        <w:rPr>
          <w:lang w:val="en-US"/>
        </w:rPr>
        <w:t xml:space="preserve"> P., 1969</w:t>
      </w:r>
      <w:r w:rsidRPr="00792431">
        <w:t>]</w:t>
      </w:r>
    </w:p>
    <w:p w:rsidR="00792431" w:rsidRDefault="00792431" w:rsidP="00C37F57">
      <w:pPr>
        <w:tabs>
          <w:tab w:val="left" w:pos="3180"/>
        </w:tabs>
        <w:jc w:val="both"/>
        <w:rPr>
          <w:lang w:val="en-US"/>
        </w:rPr>
      </w:pPr>
    </w:p>
    <w:p w:rsidR="00792431" w:rsidRDefault="00792431" w:rsidP="00C37F57">
      <w:pPr>
        <w:tabs>
          <w:tab w:val="left" w:pos="3180"/>
        </w:tabs>
        <w:jc w:val="both"/>
      </w:pPr>
      <w:r>
        <w:t>ПОЧЕЧНЫЙ синдром</w:t>
      </w:r>
      <w:r w:rsidR="00C37F57">
        <w:t xml:space="preserve"> обнаруживается  у 1/3-1/2 части больных </w:t>
      </w:r>
      <w:r w:rsidR="00C37F57" w:rsidRPr="00C37F57">
        <w:t>[</w:t>
      </w:r>
      <w:proofErr w:type="spellStart"/>
      <w:r w:rsidR="00C37F57">
        <w:t>ПапаянА</w:t>
      </w:r>
      <w:proofErr w:type="spellEnd"/>
      <w:r w:rsidR="00C37F57">
        <w:t>. В. 1982</w:t>
      </w:r>
      <w:r w:rsidR="00C37F57" w:rsidRPr="00C37F57">
        <w:t>]</w:t>
      </w:r>
      <w:r w:rsidR="00C37F57">
        <w:t xml:space="preserve"> и протекает чаще всего по типу острого или хронического </w:t>
      </w:r>
      <w:proofErr w:type="spellStart"/>
      <w:r w:rsidR="00C37F57">
        <w:t>гломерулонефрита</w:t>
      </w:r>
      <w:proofErr w:type="spellEnd"/>
      <w:r w:rsidR="00C37F57">
        <w:t xml:space="preserve">  -  с микро- или </w:t>
      </w:r>
      <w:proofErr w:type="spellStart"/>
      <w:r w:rsidR="00C37F57">
        <w:t>макрогематурией</w:t>
      </w:r>
      <w:proofErr w:type="spellEnd"/>
      <w:r w:rsidR="00C37F57">
        <w:t xml:space="preserve">, протеинурией (от 0,33 до 30% белка в моче), </w:t>
      </w:r>
      <w:proofErr w:type="spellStart"/>
      <w:r w:rsidR="00C37F57">
        <w:t>цилиндрурией</w:t>
      </w:r>
      <w:proofErr w:type="spellEnd"/>
      <w:r w:rsidR="00C37F57">
        <w:t xml:space="preserve">. Артериальная гипертензия при этой форме нефрита редка. Иногда развивается нефротический синдром. Поражение почек часто возникает не сразу, </w:t>
      </w:r>
      <w:proofErr w:type="spellStart"/>
      <w:r w:rsidR="00C37F57">
        <w:t>ачерез</w:t>
      </w:r>
      <w:proofErr w:type="spellEnd"/>
      <w:r w:rsidR="00C37F57">
        <w:t xml:space="preserve"> 1-4 </w:t>
      </w:r>
      <w:proofErr w:type="spellStart"/>
      <w:r w:rsidR="00C37F57">
        <w:t>нед</w:t>
      </w:r>
      <w:proofErr w:type="spellEnd"/>
      <w:r w:rsidR="00C37F57">
        <w:t xml:space="preserve">. после </w:t>
      </w:r>
    </w:p>
    <w:p w:rsidR="00C37F57" w:rsidRDefault="00C37F57" w:rsidP="00C37F57">
      <w:pPr>
        <w:tabs>
          <w:tab w:val="left" w:pos="3180"/>
        </w:tabs>
        <w:jc w:val="both"/>
      </w:pPr>
      <w:r>
        <w:t>Начала заболевания.</w:t>
      </w:r>
    </w:p>
    <w:p w:rsidR="00C37F57" w:rsidRDefault="00C37F57" w:rsidP="00C37F57">
      <w:pPr>
        <w:tabs>
          <w:tab w:val="left" w:pos="3180"/>
        </w:tabs>
        <w:jc w:val="both"/>
      </w:pPr>
    </w:p>
    <w:p w:rsidR="00C37F57" w:rsidRDefault="00C37F57" w:rsidP="00C37F57">
      <w:pPr>
        <w:tabs>
          <w:tab w:val="left" w:pos="3180"/>
        </w:tabs>
        <w:jc w:val="both"/>
      </w:pPr>
      <w:r>
        <w:t xml:space="preserve">Значительно реже выявляется сосудистое поражение лёгких, дающее иногда смертельное лёгочное кровотечение </w:t>
      </w:r>
      <w:r w:rsidRPr="00C37F57">
        <w:t>[</w:t>
      </w:r>
      <w:r>
        <w:t>Насонова В. А.,  Спасская  П. А.  1961</w:t>
      </w:r>
      <w:r w:rsidRPr="00C37F57">
        <w:t>]</w:t>
      </w:r>
      <w:r>
        <w:t xml:space="preserve">, и церебральная форма болезни с головными болями, </w:t>
      </w:r>
      <w:proofErr w:type="spellStart"/>
      <w:r>
        <w:t>менингеальными</w:t>
      </w:r>
      <w:proofErr w:type="spellEnd"/>
      <w:r>
        <w:t xml:space="preserve"> симптомами(геморрагии в оболочки мозга), </w:t>
      </w:r>
      <w:proofErr w:type="spellStart"/>
      <w:r>
        <w:t>эпилептиформными</w:t>
      </w:r>
      <w:proofErr w:type="spellEnd"/>
      <w:r>
        <w:t xml:space="preserve"> припадками</w:t>
      </w:r>
      <w:r w:rsidR="00D611BB" w:rsidRPr="00D611BB">
        <w:t>{</w:t>
      </w:r>
      <w:r w:rsidR="00D611BB">
        <w:t>Матвеев М. П.   Потанин Н. В.  1966, 1971</w:t>
      </w:r>
      <w:r w:rsidR="00D611BB" w:rsidRPr="00D611BB">
        <w:t>}</w:t>
      </w:r>
    </w:p>
    <w:p w:rsidR="00D611BB" w:rsidRDefault="00D611BB" w:rsidP="00C37F57">
      <w:pPr>
        <w:tabs>
          <w:tab w:val="left" w:pos="3180"/>
        </w:tabs>
        <w:jc w:val="both"/>
      </w:pPr>
      <w:r>
        <w:t>Важное значение для оценки тяжести и варианта течения процесса имеют следующие исследования.</w:t>
      </w:r>
    </w:p>
    <w:p w:rsidR="00D611BB" w:rsidRDefault="00D611BB" w:rsidP="00D611BB">
      <w:pPr>
        <w:numPr>
          <w:ilvl w:val="0"/>
          <w:numId w:val="1"/>
        </w:numPr>
        <w:tabs>
          <w:tab w:val="left" w:pos="3180"/>
        </w:tabs>
        <w:jc w:val="both"/>
      </w:pPr>
      <w:r>
        <w:t xml:space="preserve">количественное определение содержания фактора </w:t>
      </w:r>
      <w:proofErr w:type="spellStart"/>
      <w:r>
        <w:t>Виллебранда</w:t>
      </w:r>
      <w:proofErr w:type="spellEnd"/>
      <w:r>
        <w:t xml:space="preserve"> в плазме.</w:t>
      </w:r>
    </w:p>
    <w:p w:rsidR="00D611BB" w:rsidRDefault="00D611BB" w:rsidP="00D611BB">
      <w:pPr>
        <w:numPr>
          <w:ilvl w:val="0"/>
          <w:numId w:val="1"/>
        </w:numPr>
        <w:tabs>
          <w:tab w:val="left" w:pos="3180"/>
        </w:tabs>
        <w:jc w:val="both"/>
      </w:pPr>
      <w:r>
        <w:t>определение содержания в плазме циркулирующих иммунных комплексов подтверждает связь заболевания с этим базисным  механизмом.</w:t>
      </w:r>
    </w:p>
    <w:p w:rsidR="00D611BB" w:rsidRDefault="00D611BB" w:rsidP="00D611BB">
      <w:pPr>
        <w:numPr>
          <w:ilvl w:val="0"/>
          <w:numId w:val="1"/>
        </w:numPr>
        <w:tabs>
          <w:tab w:val="left" w:pos="3180"/>
        </w:tabs>
        <w:jc w:val="both"/>
      </w:pPr>
      <w:proofErr w:type="spellStart"/>
      <w:r>
        <w:t>гиперфибриногенемия</w:t>
      </w:r>
      <w:proofErr w:type="spellEnd"/>
      <w:r>
        <w:t xml:space="preserve">, </w:t>
      </w:r>
      <w:proofErr w:type="spellStart"/>
      <w:r>
        <w:t>помышенное</w:t>
      </w:r>
      <w:proofErr w:type="spellEnd"/>
      <w:r>
        <w:t xml:space="preserve"> содержание в плазме </w:t>
      </w:r>
    </w:p>
    <w:p w:rsidR="00D611BB" w:rsidRDefault="00D611BB" w:rsidP="00D611BB">
      <w:pPr>
        <w:tabs>
          <w:tab w:val="left" w:pos="3180"/>
        </w:tabs>
        <w:ind w:left="360"/>
        <w:jc w:val="both"/>
      </w:pPr>
      <w:r>
        <w:t>глобулинов, а также     кислого гликопротеина отражают остроту и тяжесть болезни.</w:t>
      </w:r>
    </w:p>
    <w:p w:rsidR="00D611BB" w:rsidRDefault="00F1752B" w:rsidP="00F1752B">
      <w:pPr>
        <w:numPr>
          <w:ilvl w:val="0"/>
          <w:numId w:val="1"/>
        </w:numPr>
        <w:tabs>
          <w:tab w:val="left" w:pos="3180"/>
        </w:tabs>
        <w:jc w:val="both"/>
      </w:pPr>
      <w:r>
        <w:t xml:space="preserve">определение в сыворотке </w:t>
      </w:r>
      <w:proofErr w:type="spellStart"/>
      <w:r>
        <w:t>криоглобулинов</w:t>
      </w:r>
      <w:proofErr w:type="spellEnd"/>
    </w:p>
    <w:p w:rsidR="00F1752B" w:rsidRDefault="00F1752B" w:rsidP="00F1752B">
      <w:pPr>
        <w:numPr>
          <w:ilvl w:val="0"/>
          <w:numId w:val="1"/>
        </w:numPr>
        <w:tabs>
          <w:tab w:val="left" w:pos="3180"/>
        </w:tabs>
        <w:jc w:val="both"/>
      </w:pPr>
      <w:r>
        <w:t xml:space="preserve">определение </w:t>
      </w:r>
      <w:proofErr w:type="spellStart"/>
      <w:r>
        <w:t>антитромбина</w:t>
      </w:r>
      <w:proofErr w:type="spellEnd"/>
      <w:r>
        <w:t xml:space="preserve"> </w:t>
      </w:r>
      <w:r>
        <w:rPr>
          <w:lang w:val="en-US"/>
        </w:rPr>
        <w:t>III</w:t>
      </w:r>
      <w:r w:rsidRPr="00F1752B">
        <w:t xml:space="preserve"> </w:t>
      </w:r>
      <w:r>
        <w:t>и степени гепаринорезистентности плазмы.</w:t>
      </w:r>
    </w:p>
    <w:p w:rsidR="00F1752B" w:rsidRDefault="00F1752B" w:rsidP="00F1752B">
      <w:pPr>
        <w:tabs>
          <w:tab w:val="left" w:pos="3180"/>
        </w:tabs>
        <w:jc w:val="both"/>
      </w:pPr>
    </w:p>
    <w:p w:rsidR="002B4C5E" w:rsidRPr="00B35EDD" w:rsidRDefault="002B4C5E" w:rsidP="002B4C5E">
      <w:pPr>
        <w:tabs>
          <w:tab w:val="left" w:pos="3180"/>
        </w:tabs>
        <w:jc w:val="center"/>
        <w:rPr>
          <w:b/>
          <w:spacing w:val="114"/>
        </w:rPr>
      </w:pPr>
      <w:r w:rsidRPr="00B35EDD">
        <w:rPr>
          <w:b/>
          <w:spacing w:val="114"/>
        </w:rPr>
        <w:lastRenderedPageBreak/>
        <w:t>ЛЕЧЕНИЕ.</w:t>
      </w:r>
    </w:p>
    <w:p w:rsidR="00B35EDD" w:rsidRDefault="00B35EDD" w:rsidP="002B4C5E">
      <w:pPr>
        <w:tabs>
          <w:tab w:val="left" w:pos="3180"/>
        </w:tabs>
        <w:jc w:val="center"/>
        <w:rPr>
          <w:b/>
        </w:rPr>
      </w:pPr>
    </w:p>
    <w:p w:rsidR="002B4C5E" w:rsidRDefault="002B4C5E" w:rsidP="002B4C5E">
      <w:pPr>
        <w:tabs>
          <w:tab w:val="left" w:pos="3180"/>
        </w:tabs>
        <w:jc w:val="center"/>
      </w:pPr>
      <w:r>
        <w:rPr>
          <w:b/>
        </w:rPr>
        <w:t>Обязательны госпитализация</w:t>
      </w:r>
      <w:r>
        <w:t xml:space="preserve"> и соблюдение постельного режима не менее 3 </w:t>
      </w:r>
      <w:proofErr w:type="spellStart"/>
      <w:r>
        <w:t>нед</w:t>
      </w:r>
      <w:proofErr w:type="spellEnd"/>
      <w:r>
        <w:t>.</w:t>
      </w:r>
    </w:p>
    <w:p w:rsidR="002B4C5E" w:rsidRDefault="002B4C5E" w:rsidP="002B4C5E">
      <w:pPr>
        <w:tabs>
          <w:tab w:val="left" w:pos="3180"/>
        </w:tabs>
        <w:jc w:val="both"/>
      </w:pPr>
      <w:r>
        <w:t>Из рациона исключают какао, кофе, шоколад, цитрусовые, свежие ягоды(земляника, клубника и др.) и все другие виды пищи, не переносимые больными.</w:t>
      </w:r>
    </w:p>
    <w:p w:rsidR="00B35EDD" w:rsidRDefault="00B35EDD" w:rsidP="002B4C5E">
      <w:pPr>
        <w:tabs>
          <w:tab w:val="left" w:pos="3180"/>
        </w:tabs>
        <w:jc w:val="both"/>
      </w:pPr>
    </w:p>
    <w:p w:rsidR="00B35EDD" w:rsidRDefault="00B35EDD" w:rsidP="002B4C5E">
      <w:pPr>
        <w:tabs>
          <w:tab w:val="left" w:pos="3180"/>
        </w:tabs>
        <w:jc w:val="both"/>
      </w:pPr>
      <w:r>
        <w:t xml:space="preserve">Следует избегать назначения антибиотиков, сульфаниламидов и других </w:t>
      </w:r>
      <w:proofErr w:type="spellStart"/>
      <w:r>
        <w:t>аллергизирующих</w:t>
      </w:r>
      <w:proofErr w:type="spellEnd"/>
      <w:r>
        <w:t xml:space="preserve"> препаратов(в том числе всех витаминов), которые могут </w:t>
      </w:r>
      <w:proofErr w:type="spellStart"/>
      <w:r>
        <w:t>поддерживатьГВ</w:t>
      </w:r>
      <w:proofErr w:type="spellEnd"/>
      <w:r>
        <w:t xml:space="preserve"> или спровоцировать его обострение.</w:t>
      </w:r>
    </w:p>
    <w:p w:rsidR="00B35EDD" w:rsidRDefault="00B35EDD" w:rsidP="002B4C5E">
      <w:pPr>
        <w:tabs>
          <w:tab w:val="left" w:pos="3180"/>
        </w:tabs>
        <w:jc w:val="both"/>
      </w:pPr>
    </w:p>
    <w:p w:rsidR="00B35EDD" w:rsidRPr="002B4C5E" w:rsidRDefault="00B35EDD" w:rsidP="002B4C5E">
      <w:pPr>
        <w:tabs>
          <w:tab w:val="left" w:pos="3180"/>
        </w:tabs>
        <w:jc w:val="both"/>
      </w:pPr>
      <w:r>
        <w:t xml:space="preserve">Антигистаминные </w:t>
      </w:r>
      <w:proofErr w:type="spellStart"/>
      <w:r>
        <w:t>препараты-димедрол</w:t>
      </w:r>
      <w:proofErr w:type="spellEnd"/>
      <w:r>
        <w:t xml:space="preserve">, </w:t>
      </w:r>
      <w:proofErr w:type="spellStart"/>
      <w:r>
        <w:t>супрастин</w:t>
      </w:r>
      <w:proofErr w:type="spellEnd"/>
      <w:r>
        <w:t xml:space="preserve">, </w:t>
      </w:r>
      <w:proofErr w:type="spellStart"/>
      <w:r>
        <w:t>тавегил-малополезны</w:t>
      </w:r>
      <w:proofErr w:type="spellEnd"/>
      <w:r>
        <w:t>. НЕ оправдано назначение препаратов кальция, аскорбиновой кислоты и рутина.</w:t>
      </w:r>
    </w:p>
    <w:sectPr w:rsidR="00B35EDD" w:rsidRPr="002B4C5E" w:rsidSect="00F960C5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1E7F"/>
    <w:multiLevelType w:val="hybridMultilevel"/>
    <w:tmpl w:val="21DEB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A03014"/>
    <w:multiLevelType w:val="multilevel"/>
    <w:tmpl w:val="21DE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AB"/>
    <w:rsid w:val="000242FE"/>
    <w:rsid w:val="00096A7A"/>
    <w:rsid w:val="00143F12"/>
    <w:rsid w:val="001663C1"/>
    <w:rsid w:val="001A5B02"/>
    <w:rsid w:val="002A38E6"/>
    <w:rsid w:val="002B4C5E"/>
    <w:rsid w:val="002B7768"/>
    <w:rsid w:val="00306E2E"/>
    <w:rsid w:val="003A3CE1"/>
    <w:rsid w:val="004644A3"/>
    <w:rsid w:val="004A37AB"/>
    <w:rsid w:val="004B63D7"/>
    <w:rsid w:val="00501317"/>
    <w:rsid w:val="005510A6"/>
    <w:rsid w:val="00563092"/>
    <w:rsid w:val="00577913"/>
    <w:rsid w:val="006548B9"/>
    <w:rsid w:val="00732E4F"/>
    <w:rsid w:val="00792431"/>
    <w:rsid w:val="007D7D0B"/>
    <w:rsid w:val="0098671B"/>
    <w:rsid w:val="00A159BF"/>
    <w:rsid w:val="00B35EDD"/>
    <w:rsid w:val="00B65AA6"/>
    <w:rsid w:val="00C11403"/>
    <w:rsid w:val="00C37F57"/>
    <w:rsid w:val="00CC041E"/>
    <w:rsid w:val="00CC4A91"/>
    <w:rsid w:val="00CD3E6A"/>
    <w:rsid w:val="00D305E0"/>
    <w:rsid w:val="00D611BB"/>
    <w:rsid w:val="00DE0A7F"/>
    <w:rsid w:val="00DE496B"/>
    <w:rsid w:val="00F1752B"/>
    <w:rsid w:val="00F41170"/>
    <w:rsid w:val="00F72358"/>
    <w:rsid w:val="00F960C5"/>
    <w:rsid w:val="00FA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4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E4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Геморрагический васкулит</vt:lpstr>
    </vt:vector>
  </TitlesOfParts>
  <Company>дом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Геморрагический васкулит</dc:title>
  <dc:creator>Алишер</dc:creator>
  <cp:lastModifiedBy>Igor</cp:lastModifiedBy>
  <cp:revision>2</cp:revision>
  <dcterms:created xsi:type="dcterms:W3CDTF">2024-06-06T07:30:00Z</dcterms:created>
  <dcterms:modified xsi:type="dcterms:W3CDTF">2024-06-06T07:30:00Z</dcterms:modified>
</cp:coreProperties>
</file>