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09" w:rsidRPr="001E5809" w:rsidRDefault="001E5809" w:rsidP="009240FE">
      <w:pPr>
        <w:pStyle w:val="Style5"/>
        <w:widowControl/>
        <w:tabs>
          <w:tab w:val="left" w:pos="461"/>
        </w:tabs>
        <w:spacing w:line="360" w:lineRule="auto"/>
        <w:ind w:firstLine="709"/>
        <w:jc w:val="center"/>
        <w:rPr>
          <w:rStyle w:val="FontStyle14"/>
          <w:b/>
          <w:bCs/>
          <w:color w:val="000000"/>
          <w:sz w:val="28"/>
        </w:rPr>
      </w:pPr>
      <w:bookmarkStart w:id="0" w:name="_GoBack"/>
      <w:bookmarkEnd w:id="0"/>
      <w:r w:rsidRPr="001E5809">
        <w:rPr>
          <w:rStyle w:val="FontStyle14"/>
          <w:b/>
          <w:bCs/>
          <w:color w:val="000000"/>
          <w:sz w:val="28"/>
        </w:rPr>
        <w:t>Как выявить больного с риском кровотечения?</w:t>
      </w:r>
    </w:p>
    <w:p w:rsidR="009240FE" w:rsidRPr="00AC5F23" w:rsidRDefault="009240FE" w:rsidP="009240FE">
      <w:pPr>
        <w:pStyle w:val="Style5"/>
        <w:widowControl/>
        <w:tabs>
          <w:tab w:val="left" w:pos="461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</w:p>
    <w:p w:rsidR="001E5809" w:rsidRPr="001E5809" w:rsidRDefault="001E5809" w:rsidP="009240FE">
      <w:pPr>
        <w:pStyle w:val="Style5"/>
        <w:widowControl/>
        <w:tabs>
          <w:tab w:val="left" w:pos="461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Наиболее важный фактор — детальный сбор анамнеза. Вопросы о применяемых препаратах, включая антикоагулянты, нестероидные противовоспалительные средства, аспирин, о длительности и тяжести предшествующих кровотечений и о заболеваниях, связанных с расстройствами гемостаза, позволяют выявить большинство пациентов с риском. </w:t>
      </w:r>
      <w:proofErr w:type="spellStart"/>
      <w:r w:rsidRPr="001E5809">
        <w:rPr>
          <w:rStyle w:val="FontStyle14"/>
          <w:color w:val="000000"/>
          <w:sz w:val="28"/>
        </w:rPr>
        <w:t>Тромбоцитарные</w:t>
      </w:r>
      <w:proofErr w:type="spellEnd"/>
      <w:r w:rsidRPr="001E5809">
        <w:rPr>
          <w:rStyle w:val="FontStyle14"/>
          <w:color w:val="000000"/>
          <w:sz w:val="28"/>
        </w:rPr>
        <w:t xml:space="preserve"> расстройства обычно протекают с </w:t>
      </w:r>
      <w:proofErr w:type="spellStart"/>
      <w:r w:rsidRPr="001E5809">
        <w:rPr>
          <w:rStyle w:val="FontStyle14"/>
          <w:color w:val="000000"/>
          <w:sz w:val="28"/>
        </w:rPr>
        <w:t>петехиальными</w:t>
      </w:r>
      <w:proofErr w:type="spellEnd"/>
      <w:r w:rsidRPr="001E5809">
        <w:rPr>
          <w:rStyle w:val="FontStyle14"/>
          <w:color w:val="000000"/>
          <w:sz w:val="28"/>
        </w:rPr>
        <w:t xml:space="preserve"> геморрагиями на слизистых и коже, в то время как </w:t>
      </w:r>
      <w:proofErr w:type="spellStart"/>
      <w:r w:rsidRPr="001E5809">
        <w:rPr>
          <w:rStyle w:val="FontStyle14"/>
          <w:color w:val="000000"/>
          <w:sz w:val="28"/>
        </w:rPr>
        <w:t>коагулопатии</w:t>
      </w:r>
      <w:proofErr w:type="spellEnd"/>
      <w:r w:rsidRPr="001E5809">
        <w:rPr>
          <w:rStyle w:val="FontStyle14"/>
          <w:color w:val="000000"/>
          <w:sz w:val="28"/>
        </w:rPr>
        <w:t xml:space="preserve"> имеют более выраженную клиническую картину со спонтанными внутримышечными, внутрисуставными, гастроинтестинальными и внутричерепными кровоизлияниями. Врожденные расстройства обычно проявляются в раннем возрасте и имеют соответствующий семейный анамнез. Предшествующие обширные хирургические вмешательства без гемотрансфузий говорят об отсутствии врожденных расстройств коагуляции.</w:t>
      </w:r>
    </w:p>
    <w:p w:rsidR="009240FE" w:rsidRPr="00AC5F23" w:rsidRDefault="009240FE" w:rsidP="009240FE">
      <w:pPr>
        <w:pStyle w:val="Style5"/>
        <w:widowControl/>
        <w:tabs>
          <w:tab w:val="left" w:pos="461"/>
        </w:tabs>
        <w:spacing w:line="360" w:lineRule="auto"/>
        <w:ind w:left="709"/>
        <w:jc w:val="both"/>
        <w:rPr>
          <w:rStyle w:val="FontStyle14"/>
          <w:b/>
          <w:bCs/>
          <w:color w:val="000000"/>
          <w:sz w:val="28"/>
        </w:rPr>
      </w:pPr>
    </w:p>
    <w:p w:rsidR="001E5809" w:rsidRPr="009240FE" w:rsidRDefault="001E5809" w:rsidP="009240FE">
      <w:pPr>
        <w:pStyle w:val="Style5"/>
        <w:widowControl/>
        <w:tabs>
          <w:tab w:val="left" w:pos="461"/>
        </w:tabs>
        <w:spacing w:line="360" w:lineRule="auto"/>
        <w:ind w:left="709"/>
        <w:jc w:val="center"/>
        <w:rPr>
          <w:rStyle w:val="FontStyle14"/>
          <w:b/>
          <w:bCs/>
          <w:color w:val="000000"/>
          <w:sz w:val="28"/>
        </w:rPr>
      </w:pPr>
      <w:r w:rsidRPr="001E5809">
        <w:rPr>
          <w:rStyle w:val="FontStyle14"/>
          <w:b/>
          <w:bCs/>
          <w:color w:val="000000"/>
          <w:sz w:val="28"/>
        </w:rPr>
        <w:t xml:space="preserve">Насколько целесообразно применение </w:t>
      </w:r>
      <w:proofErr w:type="spellStart"/>
      <w:r w:rsidRPr="001E5809">
        <w:rPr>
          <w:rStyle w:val="FontStyle14"/>
          <w:b/>
          <w:bCs/>
          <w:color w:val="000000"/>
          <w:sz w:val="28"/>
        </w:rPr>
        <w:t>скрининговых</w:t>
      </w:r>
      <w:proofErr w:type="spellEnd"/>
      <w:r w:rsidRPr="001E5809">
        <w:rPr>
          <w:rStyle w:val="FontStyle14"/>
          <w:b/>
          <w:bCs/>
          <w:color w:val="000000"/>
          <w:sz w:val="28"/>
        </w:rPr>
        <w:t xml:space="preserve"> тестов свертывающей системы?</w:t>
      </w:r>
    </w:p>
    <w:p w:rsidR="009240FE" w:rsidRPr="009240FE" w:rsidRDefault="009240FE" w:rsidP="009240FE">
      <w:pPr>
        <w:pStyle w:val="Style5"/>
        <w:widowControl/>
        <w:tabs>
          <w:tab w:val="left" w:pos="461"/>
        </w:tabs>
        <w:spacing w:line="360" w:lineRule="auto"/>
        <w:ind w:left="709"/>
        <w:jc w:val="both"/>
        <w:rPr>
          <w:rStyle w:val="FontStyle14"/>
          <w:b/>
          <w:bCs/>
          <w:color w:val="000000"/>
          <w:sz w:val="28"/>
        </w:rPr>
      </w:pPr>
    </w:p>
    <w:p w:rsidR="001E5809" w:rsidRPr="001E5809" w:rsidRDefault="001E5809" w:rsidP="001E5809">
      <w:pPr>
        <w:pStyle w:val="Style5"/>
        <w:widowControl/>
        <w:numPr>
          <w:ilvl w:val="0"/>
          <w:numId w:val="4"/>
        </w:numPr>
        <w:tabs>
          <w:tab w:val="left" w:pos="461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proofErr w:type="spellStart"/>
      <w:r w:rsidRPr="001E5809">
        <w:rPr>
          <w:rStyle w:val="FontStyle14"/>
          <w:color w:val="000000"/>
          <w:sz w:val="28"/>
        </w:rPr>
        <w:t>Протромбиновое</w:t>
      </w:r>
      <w:proofErr w:type="spellEnd"/>
      <w:r w:rsidRPr="001E5809">
        <w:rPr>
          <w:rStyle w:val="FontStyle14"/>
          <w:color w:val="000000"/>
          <w:sz w:val="28"/>
        </w:rPr>
        <w:t xml:space="preserve"> время (ПВ) и частичное </w:t>
      </w:r>
      <w:proofErr w:type="spellStart"/>
      <w:r w:rsidRPr="001E5809">
        <w:rPr>
          <w:rStyle w:val="FontStyle14"/>
          <w:color w:val="000000"/>
          <w:sz w:val="28"/>
        </w:rPr>
        <w:t>тромбопластиновое</w:t>
      </w:r>
      <w:proofErr w:type="spellEnd"/>
      <w:r w:rsidRPr="001E5809">
        <w:rPr>
          <w:rStyle w:val="FontStyle14"/>
          <w:color w:val="000000"/>
          <w:sz w:val="28"/>
        </w:rPr>
        <w:t xml:space="preserve"> время (ЧТВ), несмотря на применимость в скрининге пациентов с наличием в анамнезе кровотечений, не доказали какой-нибудь ценности у больных без специфических симптомов. Более того, рутинное исследование времени кровотечения для оценки функции тромбоцитов у пациентов, получающих аспирин, может иметь небольшую ценность в связи с малой корреляцией между временем кровотечения и клиническим кровотечением.</w:t>
      </w:r>
    </w:p>
    <w:p w:rsidR="0089056B" w:rsidRPr="001E5809" w:rsidRDefault="0089056B" w:rsidP="001E5809">
      <w:pPr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proofErr w:type="spellStart"/>
      <w:r w:rsidRPr="001E5809">
        <w:rPr>
          <w:rStyle w:val="FontStyle14"/>
          <w:color w:val="000000"/>
          <w:sz w:val="28"/>
        </w:rPr>
        <w:t>Простациклин</w:t>
      </w:r>
      <w:proofErr w:type="spellEnd"/>
      <w:r w:rsidRPr="001E5809">
        <w:rPr>
          <w:rStyle w:val="FontStyle14"/>
          <w:color w:val="000000"/>
          <w:sz w:val="28"/>
        </w:rPr>
        <w:t xml:space="preserve"> </w:t>
      </w:r>
      <w:r w:rsidRPr="001E5809">
        <w:rPr>
          <w:rStyle w:val="FontStyle13"/>
          <w:rFonts w:ascii="Times New Roman" w:hAnsi="Times New Roman" w:cs="Times New Roman"/>
          <w:color w:val="000000"/>
          <w:sz w:val="28"/>
        </w:rPr>
        <w:t>(</w:t>
      </w:r>
      <w:r w:rsidRPr="001E5809">
        <w:rPr>
          <w:rStyle w:val="FontStyle13"/>
          <w:rFonts w:ascii="Times New Roman" w:hAnsi="Times New Roman" w:cs="Times New Roman"/>
          <w:color w:val="000000"/>
          <w:sz w:val="28"/>
          <w:lang w:val="en-US"/>
        </w:rPr>
        <w:t>PGI</w:t>
      </w:r>
      <w:r w:rsidRPr="001E5809">
        <w:rPr>
          <w:rStyle w:val="FontStyle13"/>
          <w:rFonts w:ascii="Times New Roman" w:hAnsi="Times New Roman" w:cs="Times New Roman"/>
          <w:color w:val="000000"/>
          <w:sz w:val="28"/>
        </w:rPr>
        <w:t xml:space="preserve">2) </w:t>
      </w:r>
      <w:r w:rsidRPr="001E5809">
        <w:rPr>
          <w:rStyle w:val="FontStyle14"/>
          <w:color w:val="000000"/>
          <w:sz w:val="28"/>
        </w:rPr>
        <w:t>— мощный вазодилататор и ингибитор агрегации тромбоцитов.</w:t>
      </w:r>
    </w:p>
    <w:p w:rsidR="0089056B" w:rsidRDefault="0089056B" w:rsidP="001E5809">
      <w:pPr>
        <w:pStyle w:val="Style5"/>
        <w:widowControl/>
        <w:numPr>
          <w:ilvl w:val="0"/>
          <w:numId w:val="4"/>
        </w:numPr>
        <w:tabs>
          <w:tab w:val="left" w:pos="461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Протеин С, активирующий </w:t>
      </w:r>
      <w:proofErr w:type="spellStart"/>
      <w:r w:rsidRPr="001E5809">
        <w:rPr>
          <w:rStyle w:val="FontStyle14"/>
          <w:color w:val="000000"/>
          <w:sz w:val="28"/>
        </w:rPr>
        <w:t>плазминоген</w:t>
      </w:r>
      <w:proofErr w:type="spellEnd"/>
      <w:r w:rsidRPr="001E5809">
        <w:rPr>
          <w:rStyle w:val="FontStyle14"/>
          <w:color w:val="000000"/>
          <w:sz w:val="28"/>
        </w:rPr>
        <w:t xml:space="preserve"> и поддерживающий </w:t>
      </w:r>
      <w:proofErr w:type="spellStart"/>
      <w:r w:rsidRPr="001E5809">
        <w:rPr>
          <w:rStyle w:val="FontStyle14"/>
          <w:color w:val="000000"/>
          <w:sz w:val="28"/>
        </w:rPr>
        <w:t>фибринолиз</w:t>
      </w:r>
      <w:proofErr w:type="spellEnd"/>
      <w:r w:rsidRPr="001E5809">
        <w:rPr>
          <w:rStyle w:val="FontStyle14"/>
          <w:color w:val="000000"/>
          <w:sz w:val="28"/>
        </w:rPr>
        <w:t>.</w:t>
      </w:r>
    </w:p>
    <w:p w:rsidR="0089056B" w:rsidRPr="001E5809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lastRenderedPageBreak/>
        <w:t>Если целостность эндотелия нарушается, обнажающийся коллаген субэндотелиального слоя запускает процесс коагуляции через активацию и адгезию тромбоцитов.</w:t>
      </w:r>
    </w:p>
    <w:p w:rsidR="009240FE" w:rsidRPr="00AC5F23" w:rsidRDefault="009240FE" w:rsidP="009240FE">
      <w:pPr>
        <w:pStyle w:val="Style3"/>
        <w:widowControl/>
        <w:tabs>
          <w:tab w:val="left" w:pos="277"/>
        </w:tabs>
        <w:spacing w:line="360" w:lineRule="auto"/>
        <w:ind w:left="709"/>
        <w:jc w:val="both"/>
        <w:rPr>
          <w:rStyle w:val="FontStyle12"/>
          <w:color w:val="000000"/>
          <w:sz w:val="28"/>
        </w:rPr>
      </w:pPr>
    </w:p>
    <w:p w:rsidR="0089056B" w:rsidRPr="001E5809" w:rsidRDefault="0089056B" w:rsidP="009240FE">
      <w:pPr>
        <w:pStyle w:val="Style3"/>
        <w:widowControl/>
        <w:tabs>
          <w:tab w:val="left" w:pos="277"/>
        </w:tabs>
        <w:spacing w:line="360" w:lineRule="auto"/>
        <w:ind w:left="709"/>
        <w:jc w:val="both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Какую функцию в процессе коагуляции выполняют тромбоциты?</w:t>
      </w:r>
    </w:p>
    <w:p w:rsidR="009240FE" w:rsidRPr="00AC5F23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proofErr w:type="spellStart"/>
      <w:r w:rsidRPr="001E5809">
        <w:rPr>
          <w:rStyle w:val="FontStyle14"/>
          <w:color w:val="000000"/>
          <w:sz w:val="28"/>
        </w:rPr>
        <w:t>Тромбоцитарная</w:t>
      </w:r>
      <w:proofErr w:type="spellEnd"/>
      <w:r w:rsidRPr="001E5809">
        <w:rPr>
          <w:rStyle w:val="FontStyle14"/>
          <w:color w:val="000000"/>
          <w:sz w:val="28"/>
        </w:rPr>
        <w:t xml:space="preserve"> мембрана делает возможным физическое взаимодействие между сосудистым эндотелием и тромбоцитами. Она также способствует взаимодействию тромбоцитов с белками </w:t>
      </w:r>
      <w:proofErr w:type="spellStart"/>
      <w:r w:rsidRPr="001E5809">
        <w:rPr>
          <w:rStyle w:val="FontStyle14"/>
          <w:color w:val="000000"/>
          <w:sz w:val="28"/>
        </w:rPr>
        <w:t>коагуляционного</w:t>
      </w:r>
      <w:proofErr w:type="spellEnd"/>
      <w:r w:rsidRPr="001E5809">
        <w:rPr>
          <w:rStyle w:val="FontStyle14"/>
          <w:color w:val="000000"/>
          <w:sz w:val="28"/>
        </w:rPr>
        <w:t xml:space="preserve"> каскада. </w:t>
      </w:r>
      <w:proofErr w:type="spellStart"/>
      <w:r w:rsidRPr="001E5809">
        <w:rPr>
          <w:rStyle w:val="FontStyle14"/>
          <w:color w:val="000000"/>
          <w:sz w:val="28"/>
        </w:rPr>
        <w:t>Тромбоцитарный</w:t>
      </w:r>
      <w:proofErr w:type="spellEnd"/>
      <w:r w:rsidRPr="001E5809">
        <w:rPr>
          <w:rStyle w:val="FontStyle14"/>
          <w:color w:val="000000"/>
          <w:sz w:val="28"/>
        </w:rPr>
        <w:t xml:space="preserve"> фосфолипид, или </w:t>
      </w:r>
      <w:proofErr w:type="spellStart"/>
      <w:r w:rsidRPr="001E5809">
        <w:rPr>
          <w:rStyle w:val="FontStyle14"/>
          <w:color w:val="000000"/>
          <w:sz w:val="28"/>
        </w:rPr>
        <w:t>тромбоиитарный</w:t>
      </w:r>
      <w:proofErr w:type="spellEnd"/>
      <w:r w:rsidRPr="001E5809">
        <w:rPr>
          <w:rStyle w:val="FontStyle14"/>
          <w:color w:val="000000"/>
          <w:sz w:val="28"/>
        </w:rPr>
        <w:t xml:space="preserve"> фактор 3 (ТФ</w:t>
      </w:r>
      <w:r w:rsidRPr="001E5809">
        <w:rPr>
          <w:rStyle w:val="FontStyle14"/>
          <w:color w:val="000000"/>
          <w:sz w:val="28"/>
          <w:vertAlign w:val="subscript"/>
        </w:rPr>
        <w:t>3</w:t>
      </w:r>
      <w:r w:rsidRPr="001E5809">
        <w:rPr>
          <w:rStyle w:val="FontStyle14"/>
          <w:color w:val="000000"/>
          <w:sz w:val="28"/>
        </w:rPr>
        <w:t xml:space="preserve">), ограничивает коагуляцию местом агрегации тромбоцитов. Из гранул активированных тромбоцитов высвобождается их содержимое, включая </w:t>
      </w:r>
      <w:proofErr w:type="spellStart"/>
      <w:r w:rsidRPr="001E5809">
        <w:rPr>
          <w:rStyle w:val="FontStyle14"/>
          <w:color w:val="000000"/>
          <w:sz w:val="28"/>
        </w:rPr>
        <w:t>тромбоксан</w:t>
      </w:r>
      <w:proofErr w:type="spellEnd"/>
      <w:r w:rsidRPr="001E5809">
        <w:rPr>
          <w:rStyle w:val="FontStyle14"/>
          <w:color w:val="000000"/>
          <w:sz w:val="28"/>
        </w:rPr>
        <w:t xml:space="preserve"> а</w:t>
      </w:r>
      <w:r w:rsidRPr="001E5809">
        <w:rPr>
          <w:rStyle w:val="FontStyle14"/>
          <w:color w:val="000000"/>
          <w:sz w:val="28"/>
          <w:vertAlign w:val="subscript"/>
        </w:rPr>
        <w:t>2</w:t>
      </w:r>
      <w:r w:rsidRPr="001E5809">
        <w:rPr>
          <w:rStyle w:val="FontStyle14"/>
          <w:color w:val="000000"/>
          <w:sz w:val="28"/>
        </w:rPr>
        <w:t xml:space="preserve"> и АДФ. </w:t>
      </w:r>
      <w:proofErr w:type="spellStart"/>
      <w:r w:rsidRPr="001E5809">
        <w:rPr>
          <w:rStyle w:val="FontStyle14"/>
          <w:color w:val="000000"/>
          <w:sz w:val="28"/>
        </w:rPr>
        <w:t>Тромбоксан</w:t>
      </w:r>
      <w:proofErr w:type="spellEnd"/>
      <w:r w:rsidRPr="001E5809">
        <w:rPr>
          <w:rStyle w:val="FontStyle14"/>
          <w:color w:val="000000"/>
          <w:sz w:val="28"/>
        </w:rPr>
        <w:t xml:space="preserve"> а</w:t>
      </w:r>
      <w:r w:rsidRPr="001E5809">
        <w:rPr>
          <w:rStyle w:val="FontStyle14"/>
          <w:color w:val="000000"/>
          <w:sz w:val="28"/>
          <w:vertAlign w:val="subscript"/>
        </w:rPr>
        <w:t>2</w:t>
      </w:r>
      <w:r w:rsidRPr="001E5809">
        <w:rPr>
          <w:rStyle w:val="FontStyle14"/>
          <w:color w:val="000000"/>
          <w:sz w:val="28"/>
        </w:rPr>
        <w:t xml:space="preserve"> вызывает </w:t>
      </w:r>
      <w:proofErr w:type="spellStart"/>
      <w:r w:rsidRPr="001E5809">
        <w:rPr>
          <w:rStyle w:val="FontStyle14"/>
          <w:color w:val="000000"/>
          <w:sz w:val="28"/>
        </w:rPr>
        <w:t>вазоконстрикцию</w:t>
      </w:r>
      <w:proofErr w:type="spellEnd"/>
      <w:r w:rsidRPr="001E5809">
        <w:rPr>
          <w:rStyle w:val="FontStyle14"/>
          <w:color w:val="000000"/>
          <w:sz w:val="28"/>
        </w:rPr>
        <w:t xml:space="preserve"> и увеличение выделения АДФ, что приводит к дополнительным агрегации и активации тромбоцитов.</w:t>
      </w:r>
    </w:p>
    <w:p w:rsidR="009240FE" w:rsidRPr="00AC5F23" w:rsidRDefault="009240FE" w:rsidP="009240FE">
      <w:pPr>
        <w:pStyle w:val="Style3"/>
        <w:widowControl/>
        <w:tabs>
          <w:tab w:val="left" w:pos="277"/>
        </w:tabs>
        <w:spacing w:line="360" w:lineRule="auto"/>
        <w:ind w:left="709"/>
        <w:jc w:val="both"/>
        <w:rPr>
          <w:rStyle w:val="FontStyle12"/>
          <w:color w:val="000000"/>
          <w:sz w:val="28"/>
        </w:rPr>
      </w:pPr>
    </w:p>
    <w:p w:rsidR="0089056B" w:rsidRPr="001E5809" w:rsidRDefault="0089056B" w:rsidP="009240FE">
      <w:pPr>
        <w:pStyle w:val="Style3"/>
        <w:widowControl/>
        <w:tabs>
          <w:tab w:val="left" w:pos="277"/>
        </w:tabs>
        <w:spacing w:line="360" w:lineRule="auto"/>
        <w:ind w:left="709"/>
        <w:jc w:val="center"/>
        <w:rPr>
          <w:rStyle w:val="FontStyle14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Каков допустимый предоперационный уровень тромбоцитов?</w:t>
      </w:r>
    </w:p>
    <w:p w:rsidR="009240FE" w:rsidRPr="00AC5F23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Нормальное количество тромбоцитов 150000—440000/мм. Тромбоцитопения определяется как снижение уровня тромбоцитов менее 150 000/мм. </w:t>
      </w:r>
      <w:proofErr w:type="spellStart"/>
      <w:r w:rsidRPr="001E5809">
        <w:rPr>
          <w:rStyle w:val="FontStyle14"/>
          <w:color w:val="000000"/>
          <w:sz w:val="28"/>
        </w:rPr>
        <w:t>Интраоперационное</w:t>
      </w:r>
      <w:proofErr w:type="spellEnd"/>
      <w:r w:rsidRPr="001E5809">
        <w:rPr>
          <w:rStyle w:val="FontStyle14"/>
          <w:color w:val="000000"/>
          <w:sz w:val="28"/>
        </w:rPr>
        <w:t xml:space="preserve"> кровотечение может быть тяжелым при количестве 40000—70000/мм, а при снижении уровня менее 20000/мм обычно встречаются спонтанные кровотечения. Минимальное количество тромбоцитов, рекомендуемое перед оперативным вмешательством, — 75000/мм. Несмотря на применение профилактической трансфузии тромбоцитов перед операцией, назначаемой, как правило, для лечения предшествующей тромбоцитопении, методы оценки клинической необходимости неясны.</w:t>
      </w:r>
    </w:p>
    <w:p w:rsidR="001E5809" w:rsidRPr="001E5809" w:rsidRDefault="009240FE" w:rsidP="009240FE">
      <w:pPr>
        <w:pStyle w:val="Style2"/>
        <w:widowControl/>
        <w:spacing w:line="360" w:lineRule="auto"/>
        <w:ind w:firstLine="709"/>
        <w:jc w:val="center"/>
        <w:rPr>
          <w:rStyle w:val="FontStyle14"/>
          <w:b/>
          <w:bCs/>
          <w:color w:val="000000"/>
          <w:sz w:val="28"/>
        </w:rPr>
      </w:pPr>
      <w:r w:rsidRPr="009240FE">
        <w:rPr>
          <w:rStyle w:val="FontStyle14"/>
          <w:b/>
          <w:bCs/>
          <w:color w:val="000000"/>
          <w:sz w:val="28"/>
        </w:rPr>
        <w:br w:type="page"/>
      </w:r>
      <w:r w:rsidR="001E5809" w:rsidRPr="001E5809">
        <w:rPr>
          <w:rStyle w:val="FontStyle14"/>
          <w:b/>
          <w:bCs/>
          <w:color w:val="000000"/>
          <w:sz w:val="28"/>
        </w:rPr>
        <w:lastRenderedPageBreak/>
        <w:t>Какие главные компоненты механизма гемостаза?</w:t>
      </w:r>
    </w:p>
    <w:p w:rsidR="009240FE" w:rsidRPr="009240FE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1E5809" w:rsidRPr="001E5809" w:rsidRDefault="001E5809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Четыре основных компонента </w:t>
      </w:r>
      <w:proofErr w:type="spellStart"/>
      <w:r w:rsidRPr="001E5809">
        <w:rPr>
          <w:rStyle w:val="FontStyle14"/>
          <w:color w:val="000000"/>
          <w:sz w:val="28"/>
        </w:rPr>
        <w:t>гемостатического</w:t>
      </w:r>
      <w:proofErr w:type="spellEnd"/>
      <w:r w:rsidRPr="001E5809">
        <w:rPr>
          <w:rStyle w:val="FontStyle14"/>
          <w:color w:val="000000"/>
          <w:sz w:val="28"/>
        </w:rPr>
        <w:t xml:space="preserve"> ответа включают сосудистую реактивность, активацию тромбоцитов, коагуляцию и </w:t>
      </w:r>
      <w:proofErr w:type="spellStart"/>
      <w:r w:rsidRPr="001E5809">
        <w:rPr>
          <w:rStyle w:val="FontStyle14"/>
          <w:color w:val="000000"/>
          <w:sz w:val="28"/>
        </w:rPr>
        <w:t>фибронолиз</w:t>
      </w:r>
      <w:proofErr w:type="spellEnd"/>
      <w:r w:rsidRPr="001E5809">
        <w:rPr>
          <w:rStyle w:val="FontStyle14"/>
          <w:color w:val="000000"/>
          <w:sz w:val="28"/>
        </w:rPr>
        <w:t xml:space="preserve">. После нарушения целостности тканей, на уровне микроциркуляции запускается рефлекс местной </w:t>
      </w:r>
      <w:proofErr w:type="spellStart"/>
      <w:r w:rsidRPr="001E5809">
        <w:rPr>
          <w:rStyle w:val="FontStyle14"/>
          <w:color w:val="000000"/>
          <w:sz w:val="28"/>
        </w:rPr>
        <w:t>вазоконстрикции</w:t>
      </w:r>
      <w:proofErr w:type="spellEnd"/>
      <w:r w:rsidRPr="001E5809">
        <w:rPr>
          <w:rStyle w:val="FontStyle14"/>
          <w:color w:val="000000"/>
          <w:sz w:val="28"/>
        </w:rPr>
        <w:t xml:space="preserve">. Одновременная дилатация соседних артериол отводит локальный кровоток от места кровотечения. Взаимодействие между кровеносными сосудами и тромбоцитами приводит к временному прекращению кровотечения в результате формирования </w:t>
      </w:r>
      <w:proofErr w:type="spellStart"/>
      <w:r w:rsidRPr="001E5809">
        <w:rPr>
          <w:rStyle w:val="FontStyle14"/>
          <w:color w:val="000000"/>
          <w:sz w:val="28"/>
        </w:rPr>
        <w:t>тромбоцитарного</w:t>
      </w:r>
      <w:proofErr w:type="spellEnd"/>
      <w:r w:rsidRPr="001E5809">
        <w:rPr>
          <w:rStyle w:val="FontStyle14"/>
          <w:color w:val="000000"/>
          <w:sz w:val="28"/>
        </w:rPr>
        <w:t xml:space="preserve"> сгустка. Коагуляцией называется процесс организации </w:t>
      </w:r>
      <w:proofErr w:type="spellStart"/>
      <w:r w:rsidRPr="001E5809">
        <w:rPr>
          <w:rStyle w:val="FontStyle14"/>
          <w:color w:val="000000"/>
          <w:sz w:val="28"/>
        </w:rPr>
        <w:t>тромбоцитарного</w:t>
      </w:r>
      <w:proofErr w:type="spellEnd"/>
      <w:r w:rsidRPr="001E5809">
        <w:rPr>
          <w:rStyle w:val="FontStyle14"/>
          <w:color w:val="000000"/>
          <w:sz w:val="28"/>
        </w:rPr>
        <w:t xml:space="preserve"> сгустка в ходе образования фибрина. </w:t>
      </w:r>
      <w:proofErr w:type="spellStart"/>
      <w:r w:rsidRPr="001E5809">
        <w:rPr>
          <w:rStyle w:val="FontStyle14"/>
          <w:color w:val="000000"/>
          <w:sz w:val="28"/>
        </w:rPr>
        <w:t>Фибринолиз</w:t>
      </w:r>
      <w:proofErr w:type="spellEnd"/>
      <w:r w:rsidRPr="001E5809">
        <w:rPr>
          <w:rStyle w:val="FontStyle14"/>
          <w:color w:val="000000"/>
          <w:sz w:val="28"/>
        </w:rPr>
        <w:t xml:space="preserve"> - это расщепление избытка фибрина с целью восстановления нормального кровотока.</w:t>
      </w:r>
    </w:p>
    <w:p w:rsidR="0089056B" w:rsidRPr="001E5809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Качественные различия в функции тромбоцитов делают неразумным использование количества тромбоцитов как единственного критерия для трансфузии. У больных с ускоренным разрушением, но активной продукцией тромбоцитов, риск кровотечения меньше, чем у пациентов с гипопластическими расстройствами при таком же количестве тромбоцитов.</w:t>
      </w: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Более того, оценка функции тромбоцитов перед операцией осложняется отсутствием корреляции между временем кровотечения (или другими тестами </w:t>
      </w:r>
      <w:proofErr w:type="spellStart"/>
      <w:r w:rsidRPr="001E5809">
        <w:rPr>
          <w:rStyle w:val="FontStyle14"/>
          <w:color w:val="000000"/>
          <w:sz w:val="28"/>
        </w:rPr>
        <w:t>тромбоцитарной</w:t>
      </w:r>
      <w:proofErr w:type="spellEnd"/>
      <w:r w:rsidRPr="001E5809">
        <w:rPr>
          <w:rStyle w:val="FontStyle14"/>
          <w:color w:val="000000"/>
          <w:sz w:val="28"/>
        </w:rPr>
        <w:t xml:space="preserve"> Функции) и усилением </w:t>
      </w:r>
      <w:proofErr w:type="spellStart"/>
      <w:r w:rsidRPr="001E5809">
        <w:rPr>
          <w:rStyle w:val="FontStyle14"/>
          <w:color w:val="000000"/>
          <w:sz w:val="28"/>
        </w:rPr>
        <w:t>интраоперационного</w:t>
      </w:r>
      <w:proofErr w:type="spellEnd"/>
      <w:r w:rsidRPr="001E5809">
        <w:rPr>
          <w:rStyle w:val="FontStyle14"/>
          <w:color w:val="000000"/>
          <w:sz w:val="28"/>
        </w:rPr>
        <w:t xml:space="preserve"> кровотечения. Тем не менее, норма времени кровотечения колеблется от 4 до 9 мин, и превышение ее в 1,5 раза (более 15 мин) рассматривается как значительное отклонение.</w:t>
      </w:r>
    </w:p>
    <w:p w:rsidR="009240FE" w:rsidRPr="00AC5F23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9240FE" w:rsidRDefault="0089056B" w:rsidP="009240FE">
      <w:pPr>
        <w:pStyle w:val="Style3"/>
        <w:widowControl/>
        <w:tabs>
          <w:tab w:val="left" w:pos="184"/>
        </w:tabs>
        <w:spacing w:line="360" w:lineRule="auto"/>
        <w:ind w:firstLine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 xml:space="preserve">Перечислите причины расстройств </w:t>
      </w:r>
      <w:proofErr w:type="spellStart"/>
      <w:r w:rsidR="009240FE">
        <w:rPr>
          <w:rStyle w:val="FontStyle12"/>
          <w:color w:val="000000"/>
          <w:sz w:val="28"/>
        </w:rPr>
        <w:t>тромбоцитарного</w:t>
      </w:r>
      <w:proofErr w:type="spellEnd"/>
      <w:r w:rsidR="009240FE">
        <w:rPr>
          <w:rStyle w:val="FontStyle12"/>
          <w:color w:val="000000"/>
          <w:sz w:val="28"/>
        </w:rPr>
        <w:t xml:space="preserve"> звена гемостаза</w:t>
      </w:r>
    </w:p>
    <w:p w:rsidR="009240FE" w:rsidRPr="009240FE" w:rsidRDefault="009240FE" w:rsidP="001E5809">
      <w:pPr>
        <w:pStyle w:val="Style3"/>
        <w:widowControl/>
        <w:tabs>
          <w:tab w:val="left" w:pos="184"/>
        </w:tabs>
        <w:spacing w:line="360" w:lineRule="auto"/>
        <w:ind w:firstLine="709"/>
        <w:jc w:val="both"/>
        <w:rPr>
          <w:rStyle w:val="FontStyle12"/>
          <w:color w:val="000000"/>
          <w:sz w:val="28"/>
        </w:rPr>
      </w:pPr>
    </w:p>
    <w:p w:rsidR="0089056B" w:rsidRPr="001E5809" w:rsidRDefault="0089056B" w:rsidP="001E5809">
      <w:pPr>
        <w:pStyle w:val="Style7"/>
        <w:widowControl/>
        <w:numPr>
          <w:ilvl w:val="0"/>
          <w:numId w:val="7"/>
        </w:numPr>
        <w:tabs>
          <w:tab w:val="left" w:pos="454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1E5809">
        <w:rPr>
          <w:rStyle w:val="FontStyle18"/>
          <w:color w:val="000000"/>
          <w:sz w:val="28"/>
        </w:rPr>
        <w:t xml:space="preserve">Количественные </w:t>
      </w:r>
      <w:proofErr w:type="spellStart"/>
      <w:r w:rsidRPr="001E5809">
        <w:rPr>
          <w:rStyle w:val="FontStyle18"/>
          <w:color w:val="000000"/>
          <w:sz w:val="28"/>
        </w:rPr>
        <w:t>тромбоцитарные</w:t>
      </w:r>
      <w:proofErr w:type="spellEnd"/>
      <w:r w:rsidR="00097F7B">
        <w:rPr>
          <w:rStyle w:val="FontStyle18"/>
          <w:color w:val="000000"/>
          <w:sz w:val="28"/>
          <w:lang w:val="en-US"/>
        </w:rPr>
        <w:t xml:space="preserve"> </w:t>
      </w:r>
      <w:r w:rsidRPr="001E5809">
        <w:rPr>
          <w:rStyle w:val="FontStyle18"/>
          <w:color w:val="000000"/>
          <w:sz w:val="28"/>
        </w:rPr>
        <w:t xml:space="preserve">расстройства — </w:t>
      </w:r>
      <w:r w:rsidRPr="001E5809">
        <w:rPr>
          <w:rStyle w:val="FontStyle14"/>
          <w:color w:val="000000"/>
          <w:sz w:val="28"/>
        </w:rPr>
        <w:t>тромбоцитопения.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proofErr w:type="spellStart"/>
      <w:r w:rsidRPr="001E5809">
        <w:rPr>
          <w:rStyle w:val="FontStyle14"/>
          <w:color w:val="000000"/>
          <w:sz w:val="28"/>
        </w:rPr>
        <w:lastRenderedPageBreak/>
        <w:t>Гемодилюция</w:t>
      </w:r>
      <w:proofErr w:type="spellEnd"/>
      <w:r w:rsidRPr="001E5809">
        <w:rPr>
          <w:rStyle w:val="FontStyle14"/>
          <w:color w:val="000000"/>
          <w:sz w:val="28"/>
        </w:rPr>
        <w:t xml:space="preserve"> после массивных гемотрансфузий.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Сниженная продукция тромбоцитов в результате злокачественного заболевания (ап-</w:t>
      </w:r>
      <w:proofErr w:type="spellStart"/>
      <w:r w:rsidRPr="001E5809">
        <w:rPr>
          <w:rStyle w:val="FontStyle14"/>
          <w:color w:val="000000"/>
          <w:sz w:val="28"/>
        </w:rPr>
        <w:t>ластическая</w:t>
      </w:r>
      <w:proofErr w:type="spellEnd"/>
      <w:r w:rsidRPr="001E5809">
        <w:rPr>
          <w:rStyle w:val="FontStyle14"/>
          <w:color w:val="000000"/>
          <w:sz w:val="28"/>
        </w:rPr>
        <w:t xml:space="preserve"> анемия, множественная миелома), лекарственного поражения (химиотерапия, цитотоксические препараты, этанол, </w:t>
      </w:r>
      <w:proofErr w:type="spellStart"/>
      <w:r w:rsidRPr="001E5809">
        <w:rPr>
          <w:rStyle w:val="FontStyle14"/>
          <w:color w:val="000000"/>
          <w:sz w:val="28"/>
        </w:rPr>
        <w:t>гидрохлортиазид</w:t>
      </w:r>
      <w:proofErr w:type="spellEnd"/>
      <w:r w:rsidRPr="001E5809">
        <w:rPr>
          <w:rStyle w:val="FontStyle14"/>
          <w:color w:val="000000"/>
          <w:sz w:val="28"/>
        </w:rPr>
        <w:t xml:space="preserve">), воздействия ионизирующего излучения или </w:t>
      </w:r>
      <w:proofErr w:type="spellStart"/>
      <w:r w:rsidRPr="001E5809">
        <w:rPr>
          <w:rStyle w:val="FontStyle14"/>
          <w:color w:val="000000"/>
          <w:sz w:val="28"/>
        </w:rPr>
        <w:t>супрессии</w:t>
      </w:r>
      <w:proofErr w:type="spellEnd"/>
      <w:r w:rsidRPr="001E5809">
        <w:rPr>
          <w:rStyle w:val="FontStyle14"/>
          <w:color w:val="000000"/>
          <w:sz w:val="28"/>
        </w:rPr>
        <w:t xml:space="preserve"> костного мозга после вирусной инфекции.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Повышенная периферическая деструкция, обусловленная </w:t>
      </w:r>
      <w:proofErr w:type="spellStart"/>
      <w:r w:rsidRPr="001E5809">
        <w:rPr>
          <w:rStyle w:val="FontStyle14"/>
          <w:color w:val="000000"/>
          <w:sz w:val="28"/>
        </w:rPr>
        <w:t>гиперспленизмом</w:t>
      </w:r>
      <w:proofErr w:type="spellEnd"/>
      <w:r w:rsidRPr="001E5809">
        <w:rPr>
          <w:rStyle w:val="FontStyle14"/>
          <w:color w:val="000000"/>
          <w:sz w:val="28"/>
        </w:rPr>
        <w:t xml:space="preserve">, рассеянным внутрисосудистым свертыванием (РВС), массивным повреждением тканей и сосудов, обширными ожогами или иммунными механизмами (идиопатическая </w:t>
      </w:r>
      <w:proofErr w:type="spellStart"/>
      <w:r w:rsidRPr="001E5809">
        <w:rPr>
          <w:rStyle w:val="FontStyle14"/>
          <w:color w:val="000000"/>
          <w:sz w:val="28"/>
        </w:rPr>
        <w:t>тромбо-цитопеническая</w:t>
      </w:r>
      <w:proofErr w:type="spellEnd"/>
      <w:r w:rsidRPr="001E5809">
        <w:rPr>
          <w:rStyle w:val="FontStyle14"/>
          <w:color w:val="000000"/>
          <w:sz w:val="28"/>
        </w:rPr>
        <w:t xml:space="preserve"> пурпура, аутоиммунные заболевания, ряд препаратов, например гепарин).</w:t>
      </w:r>
    </w:p>
    <w:p w:rsidR="0089056B" w:rsidRPr="001E5809" w:rsidRDefault="0089056B" w:rsidP="001E5809">
      <w:pPr>
        <w:pStyle w:val="Style7"/>
        <w:widowControl/>
        <w:numPr>
          <w:ilvl w:val="0"/>
          <w:numId w:val="9"/>
        </w:numPr>
        <w:tabs>
          <w:tab w:val="left" w:pos="454"/>
        </w:tabs>
        <w:spacing w:line="360" w:lineRule="auto"/>
        <w:ind w:firstLine="709"/>
        <w:jc w:val="both"/>
        <w:rPr>
          <w:rStyle w:val="FontStyle17"/>
          <w:color w:val="000000"/>
          <w:sz w:val="28"/>
        </w:rPr>
      </w:pPr>
      <w:r w:rsidRPr="001E5809">
        <w:rPr>
          <w:rStyle w:val="FontStyle18"/>
          <w:color w:val="000000"/>
          <w:sz w:val="28"/>
        </w:rPr>
        <w:t xml:space="preserve">Качественные </w:t>
      </w:r>
      <w:proofErr w:type="spellStart"/>
      <w:r w:rsidRPr="001E5809">
        <w:rPr>
          <w:rStyle w:val="FontStyle18"/>
          <w:color w:val="000000"/>
          <w:sz w:val="28"/>
        </w:rPr>
        <w:t>тромбоцитарные</w:t>
      </w:r>
      <w:proofErr w:type="spellEnd"/>
      <w:r w:rsidRPr="001E5809">
        <w:rPr>
          <w:rStyle w:val="FontStyle18"/>
          <w:color w:val="000000"/>
          <w:sz w:val="28"/>
        </w:rPr>
        <w:t xml:space="preserve"> расстройства.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Врожденные (например, болезнь фон </w:t>
      </w:r>
      <w:proofErr w:type="spellStart"/>
      <w:r w:rsidRPr="001E5809">
        <w:rPr>
          <w:rStyle w:val="FontStyle14"/>
          <w:color w:val="000000"/>
          <w:sz w:val="28"/>
        </w:rPr>
        <w:t>Виллебранда</w:t>
      </w:r>
      <w:proofErr w:type="spellEnd"/>
      <w:r w:rsidRPr="001E5809">
        <w:rPr>
          <w:rStyle w:val="FontStyle14"/>
          <w:color w:val="000000"/>
          <w:sz w:val="28"/>
        </w:rPr>
        <w:t>).</w:t>
      </w:r>
    </w:p>
    <w:p w:rsidR="0089056B" w:rsidRPr="009240FE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Приобретенные (уремия; цирроз печени, особенно алкогольный; применение ряда препаратов — аспирин, нестероидные противовоспалительные средства).</w:t>
      </w:r>
    </w:p>
    <w:p w:rsidR="009240FE" w:rsidRPr="001E5809" w:rsidRDefault="009240FE" w:rsidP="009240FE">
      <w:pPr>
        <w:pStyle w:val="Style1"/>
        <w:widowControl/>
        <w:tabs>
          <w:tab w:val="left" w:pos="605"/>
        </w:tabs>
        <w:spacing w:line="360" w:lineRule="auto"/>
        <w:ind w:left="709" w:firstLine="0"/>
        <w:rPr>
          <w:rStyle w:val="FontStyle14"/>
          <w:color w:val="000000"/>
          <w:sz w:val="28"/>
        </w:rPr>
      </w:pPr>
    </w:p>
    <w:p w:rsidR="0089056B" w:rsidRPr="001E5809" w:rsidRDefault="0089056B" w:rsidP="009240FE">
      <w:pPr>
        <w:pStyle w:val="Style3"/>
        <w:widowControl/>
        <w:tabs>
          <w:tab w:val="left" w:pos="184"/>
        </w:tabs>
        <w:spacing w:line="360" w:lineRule="auto"/>
        <w:ind w:firstLine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В чем состоит действие аспирина как антикоагулянта?</w:t>
      </w:r>
    </w:p>
    <w:p w:rsidR="009240FE" w:rsidRPr="009240FE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Первичный гемостаз контролируется балансом двух противоположно действующих простагландинов: </w:t>
      </w:r>
      <w:proofErr w:type="spellStart"/>
      <w:r w:rsidRPr="001E5809">
        <w:rPr>
          <w:rStyle w:val="FontStyle14"/>
          <w:color w:val="000000"/>
          <w:sz w:val="28"/>
        </w:rPr>
        <w:t>тромбоксана</w:t>
      </w:r>
      <w:proofErr w:type="spellEnd"/>
      <w:r w:rsidRPr="001E5809">
        <w:rPr>
          <w:rStyle w:val="FontStyle14"/>
          <w:color w:val="000000"/>
          <w:sz w:val="28"/>
        </w:rPr>
        <w:t xml:space="preserve"> а</w:t>
      </w:r>
      <w:r w:rsidRPr="001E5809">
        <w:rPr>
          <w:rStyle w:val="FontStyle14"/>
          <w:color w:val="000000"/>
          <w:sz w:val="28"/>
          <w:vertAlign w:val="subscript"/>
        </w:rPr>
        <w:t>2</w:t>
      </w:r>
      <w:r w:rsidRPr="001E5809">
        <w:rPr>
          <w:rStyle w:val="FontStyle14"/>
          <w:color w:val="000000"/>
          <w:sz w:val="28"/>
        </w:rPr>
        <w:t xml:space="preserve"> и </w:t>
      </w:r>
      <w:proofErr w:type="spellStart"/>
      <w:r w:rsidRPr="001E5809">
        <w:rPr>
          <w:rStyle w:val="FontStyle14"/>
          <w:color w:val="000000"/>
          <w:sz w:val="28"/>
        </w:rPr>
        <w:t>простациклина</w:t>
      </w:r>
      <w:proofErr w:type="spellEnd"/>
      <w:r w:rsidRPr="001E5809">
        <w:rPr>
          <w:rStyle w:val="FontStyle14"/>
          <w:color w:val="000000"/>
          <w:sz w:val="28"/>
        </w:rPr>
        <w:t xml:space="preserve">. В зависимости от дозы, салицилаты по-разному действуют на синтез простагландина в тромбоцитах и эндотелиальных клетках. Низкие дозы ингибируют преимущественно </w:t>
      </w:r>
      <w:proofErr w:type="spellStart"/>
      <w:r w:rsidRPr="001E5809">
        <w:rPr>
          <w:rStyle w:val="FontStyle14"/>
          <w:color w:val="000000"/>
          <w:sz w:val="28"/>
        </w:rPr>
        <w:t>тромбоцитарную</w:t>
      </w:r>
      <w:proofErr w:type="spellEnd"/>
      <w:r w:rsidRPr="001E5809">
        <w:rPr>
          <w:rStyle w:val="FontStyle14"/>
          <w:color w:val="000000"/>
          <w:sz w:val="28"/>
        </w:rPr>
        <w:t xml:space="preserve"> </w:t>
      </w:r>
      <w:proofErr w:type="spellStart"/>
      <w:r w:rsidRPr="001E5809">
        <w:rPr>
          <w:rStyle w:val="FontStyle14"/>
          <w:color w:val="000000"/>
          <w:sz w:val="28"/>
        </w:rPr>
        <w:t>циклооксигеназу</w:t>
      </w:r>
      <w:proofErr w:type="spellEnd"/>
      <w:r w:rsidRPr="001E5809">
        <w:rPr>
          <w:rStyle w:val="FontStyle14"/>
          <w:color w:val="000000"/>
          <w:sz w:val="28"/>
        </w:rPr>
        <w:t xml:space="preserve">, задерживая продукцию </w:t>
      </w:r>
      <w:proofErr w:type="spellStart"/>
      <w:r w:rsidRPr="001E5809">
        <w:rPr>
          <w:rStyle w:val="FontStyle14"/>
          <w:color w:val="000000"/>
          <w:sz w:val="28"/>
        </w:rPr>
        <w:t>тромбоксана</w:t>
      </w:r>
      <w:proofErr w:type="spellEnd"/>
      <w:r w:rsidRPr="001E5809">
        <w:rPr>
          <w:rStyle w:val="FontStyle14"/>
          <w:color w:val="000000"/>
          <w:sz w:val="28"/>
        </w:rPr>
        <w:t xml:space="preserve"> </w:t>
      </w:r>
      <w:r w:rsidRPr="009240FE">
        <w:rPr>
          <w:rStyle w:val="FontStyle15"/>
          <w:rFonts w:ascii="Times New Roman" w:hAnsi="Times New Roman" w:cs="Times New Roman"/>
          <w:b w:val="0"/>
          <w:smallCaps w:val="0"/>
          <w:color w:val="000000"/>
          <w:sz w:val="28"/>
        </w:rPr>
        <w:t>и</w:t>
      </w:r>
      <w:r w:rsidRPr="001E5809">
        <w:rPr>
          <w:rStyle w:val="FontStyle15"/>
          <w:rFonts w:ascii="Times New Roman" w:hAnsi="Times New Roman" w:cs="Times New Roman"/>
          <w:smallCaps w:val="0"/>
          <w:color w:val="000000"/>
          <w:sz w:val="28"/>
        </w:rPr>
        <w:t xml:space="preserve"> </w:t>
      </w:r>
      <w:r w:rsidRPr="001E5809">
        <w:rPr>
          <w:rStyle w:val="FontStyle14"/>
          <w:color w:val="000000"/>
          <w:sz w:val="28"/>
        </w:rPr>
        <w:t xml:space="preserve">ингибируя агрегацию тромбоцитов. Эффект развивается в течение 2 ч после приема внутрь. Тромбоциты не имеют клеточного ядра и не могут синтезировать белок. Эффект аспирина, следовательно, длится в течение полной жизни тромбоцита (7—10 дней). Нестероидные противовоспалительные препараты имеют схожее с </w:t>
      </w:r>
      <w:r w:rsidRPr="001E5809">
        <w:rPr>
          <w:rStyle w:val="FontStyle14"/>
          <w:color w:val="000000"/>
          <w:sz w:val="28"/>
        </w:rPr>
        <w:lastRenderedPageBreak/>
        <w:t>аспирином действие, но более кратковременное, длящееся только в течение 1-3 дней после прекращения их использования.</w:t>
      </w:r>
    </w:p>
    <w:p w:rsidR="009240FE" w:rsidRPr="00AC5F23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9240FE" w:rsidRDefault="0089056B" w:rsidP="009240FE">
      <w:pPr>
        <w:pStyle w:val="Style3"/>
        <w:widowControl/>
        <w:tabs>
          <w:tab w:val="left" w:pos="274"/>
        </w:tabs>
        <w:spacing w:line="360" w:lineRule="auto"/>
        <w:ind w:left="709"/>
        <w:jc w:val="center"/>
        <w:rPr>
          <w:rStyle w:val="FontStyle14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Расскажите о внутреннем и внешнем механизмах коагуляции</w:t>
      </w:r>
    </w:p>
    <w:p w:rsidR="009240FE" w:rsidRPr="009240FE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6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Последовательное превращение неактивных молекул </w:t>
      </w:r>
      <w:proofErr w:type="spellStart"/>
      <w:r w:rsidRPr="001E5809">
        <w:rPr>
          <w:rStyle w:val="FontStyle14"/>
          <w:color w:val="000000"/>
          <w:sz w:val="28"/>
        </w:rPr>
        <w:t>прокоагулянта</w:t>
      </w:r>
      <w:proofErr w:type="spellEnd"/>
      <w:r w:rsidRPr="001E5809">
        <w:rPr>
          <w:rStyle w:val="FontStyle14"/>
          <w:color w:val="000000"/>
          <w:sz w:val="28"/>
        </w:rPr>
        <w:t xml:space="preserve"> в активные энзимы и сывороточные протеины называют </w:t>
      </w:r>
      <w:proofErr w:type="spellStart"/>
      <w:r w:rsidRPr="001E5809">
        <w:rPr>
          <w:rStyle w:val="FontStyle14"/>
          <w:color w:val="000000"/>
          <w:sz w:val="28"/>
        </w:rPr>
        <w:t>коагуляционным</w:t>
      </w:r>
      <w:proofErr w:type="spellEnd"/>
      <w:r w:rsidRPr="001E5809">
        <w:rPr>
          <w:rStyle w:val="FontStyle14"/>
          <w:color w:val="000000"/>
          <w:sz w:val="28"/>
        </w:rPr>
        <w:t xml:space="preserve"> каскадом. В качестве </w:t>
      </w:r>
      <w:proofErr w:type="spellStart"/>
      <w:r w:rsidRPr="001E5809">
        <w:rPr>
          <w:rStyle w:val="FontStyle14"/>
          <w:color w:val="000000"/>
          <w:sz w:val="28"/>
        </w:rPr>
        <w:t>кофакторов</w:t>
      </w:r>
      <w:proofErr w:type="spellEnd"/>
      <w:r w:rsidRPr="001E5809">
        <w:rPr>
          <w:rStyle w:val="FontStyle14"/>
          <w:color w:val="000000"/>
          <w:sz w:val="28"/>
        </w:rPr>
        <w:t xml:space="preserve"> каскада выступают факторы V и VIII. Процесс коагуляции нуждается в фосфолипидной поверхности. Внутренний механизм коагуляции запускается внутри кровеносного сосуда с участием </w:t>
      </w:r>
      <w:proofErr w:type="spellStart"/>
      <w:r w:rsidRPr="001E5809">
        <w:rPr>
          <w:rStyle w:val="FontStyle14"/>
          <w:color w:val="000000"/>
          <w:sz w:val="28"/>
        </w:rPr>
        <w:t>фосфо</w:t>
      </w:r>
      <w:proofErr w:type="spellEnd"/>
      <w:r w:rsidRPr="001E5809">
        <w:rPr>
          <w:rStyle w:val="FontStyle14"/>
          <w:color w:val="000000"/>
          <w:sz w:val="28"/>
        </w:rPr>
        <w:t>-липида тромбоцитов (ТФ</w:t>
      </w:r>
      <w:r w:rsidRPr="001E5809">
        <w:rPr>
          <w:rStyle w:val="FontStyle14"/>
          <w:color w:val="000000"/>
          <w:sz w:val="28"/>
          <w:vertAlign w:val="subscript"/>
        </w:rPr>
        <w:t>3</w:t>
      </w:r>
      <w:r w:rsidRPr="001E5809">
        <w:rPr>
          <w:rStyle w:val="FontStyle14"/>
          <w:color w:val="000000"/>
          <w:sz w:val="28"/>
        </w:rPr>
        <w:t xml:space="preserve">) в качестве катализатора. Внешний механизм запускается вне кровеносного сосуда после высвобождения тканевого </w:t>
      </w:r>
      <w:proofErr w:type="spellStart"/>
      <w:r w:rsidRPr="001E5809">
        <w:rPr>
          <w:rStyle w:val="FontStyle14"/>
          <w:color w:val="000000"/>
          <w:sz w:val="28"/>
        </w:rPr>
        <w:t>тромбопластина</w:t>
      </w:r>
      <w:proofErr w:type="spellEnd"/>
      <w:r w:rsidRPr="001E5809">
        <w:rPr>
          <w:rStyle w:val="FontStyle14"/>
          <w:color w:val="000000"/>
          <w:sz w:val="28"/>
        </w:rPr>
        <w:t xml:space="preserve"> (тканевого фосфолипида) из поврежденных тканей. Фосфолипидная мембрана выступает как место протекания комплексной реакции, в которой участвуют фосфолипидная поверхность, кальций и активированный субстрат </w:t>
      </w:r>
      <w:proofErr w:type="spellStart"/>
      <w:r w:rsidRPr="001E5809">
        <w:rPr>
          <w:rStyle w:val="FontStyle14"/>
          <w:color w:val="000000"/>
          <w:sz w:val="28"/>
        </w:rPr>
        <w:t>прокоагулянта</w:t>
      </w:r>
      <w:proofErr w:type="spellEnd"/>
      <w:r w:rsidRPr="001E5809">
        <w:rPr>
          <w:rStyle w:val="FontStyle14"/>
          <w:color w:val="000000"/>
          <w:sz w:val="28"/>
        </w:rPr>
        <w:t xml:space="preserve"> свертывающего фактора. Традиционно внутренний и внешний механизмы рассматриваются как отдельные пути, соединяющиеся после образования активированного фактора X. В действительности они имеют взаимосвязанные звенья. Классическая концепция двух механизмов все еще используется для интерпретации </w:t>
      </w:r>
      <w:proofErr w:type="spellStart"/>
      <w:r w:rsidRPr="001E5809">
        <w:rPr>
          <w:rStyle w:val="FontStyle14"/>
          <w:color w:val="000000"/>
          <w:sz w:val="28"/>
        </w:rPr>
        <w:t>коагуляционных</w:t>
      </w:r>
      <w:proofErr w:type="spellEnd"/>
      <w:r w:rsidRPr="001E5809">
        <w:rPr>
          <w:rStyle w:val="FontStyle14"/>
          <w:color w:val="000000"/>
          <w:sz w:val="28"/>
        </w:rPr>
        <w:t xml:space="preserve"> тестов </w:t>
      </w:r>
      <w:r w:rsidRPr="001E5809">
        <w:rPr>
          <w:rStyle w:val="FontStyle16"/>
          <w:color w:val="000000"/>
          <w:sz w:val="28"/>
          <w:lang w:val="en-US"/>
        </w:rPr>
        <w:t>in</w:t>
      </w:r>
      <w:r w:rsidRPr="001E5809">
        <w:rPr>
          <w:rStyle w:val="FontStyle16"/>
          <w:color w:val="000000"/>
          <w:sz w:val="28"/>
        </w:rPr>
        <w:t xml:space="preserve"> </w:t>
      </w:r>
      <w:r w:rsidRPr="001E5809">
        <w:rPr>
          <w:rStyle w:val="FontStyle16"/>
          <w:color w:val="000000"/>
          <w:sz w:val="28"/>
          <w:lang w:val="en-US"/>
        </w:rPr>
        <w:t>vitro</w:t>
      </w:r>
      <w:r w:rsidRPr="001E5809">
        <w:rPr>
          <w:rStyle w:val="FontStyle16"/>
          <w:color w:val="000000"/>
          <w:sz w:val="28"/>
        </w:rPr>
        <w:t>.</w:t>
      </w:r>
    </w:p>
    <w:p w:rsidR="009240FE" w:rsidRPr="00AC5F23" w:rsidRDefault="009240FE" w:rsidP="009240FE">
      <w:pPr>
        <w:pStyle w:val="Style3"/>
        <w:widowControl/>
        <w:tabs>
          <w:tab w:val="left" w:pos="274"/>
        </w:tabs>
        <w:spacing w:line="360" w:lineRule="auto"/>
        <w:jc w:val="both"/>
        <w:rPr>
          <w:rStyle w:val="FontStyle16"/>
          <w:color w:val="000000"/>
          <w:sz w:val="28"/>
        </w:rPr>
      </w:pPr>
    </w:p>
    <w:p w:rsidR="0089056B" w:rsidRPr="001E5809" w:rsidRDefault="0089056B" w:rsidP="009240FE">
      <w:pPr>
        <w:pStyle w:val="Style3"/>
        <w:widowControl/>
        <w:tabs>
          <w:tab w:val="left" w:pos="274"/>
        </w:tabs>
        <w:spacing w:line="360" w:lineRule="auto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Что такое фактор VIII?</w:t>
      </w:r>
    </w:p>
    <w:p w:rsidR="009240FE" w:rsidRPr="00AC5F23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Фактор VIII является большим плазменным белковым комплексом двух </w:t>
      </w:r>
      <w:proofErr w:type="spellStart"/>
      <w:r w:rsidRPr="001E5809">
        <w:rPr>
          <w:rStyle w:val="FontStyle14"/>
          <w:color w:val="000000"/>
          <w:sz w:val="28"/>
        </w:rPr>
        <w:t>нековалентносвя-занных</w:t>
      </w:r>
      <w:proofErr w:type="spellEnd"/>
      <w:r w:rsidRPr="001E5809">
        <w:rPr>
          <w:rStyle w:val="FontStyle14"/>
          <w:color w:val="000000"/>
          <w:sz w:val="28"/>
        </w:rPr>
        <w:t xml:space="preserve"> факторов, фактора фон </w:t>
      </w:r>
      <w:proofErr w:type="spellStart"/>
      <w:r w:rsidRPr="001E5809">
        <w:rPr>
          <w:rStyle w:val="FontStyle14"/>
          <w:color w:val="000000"/>
          <w:sz w:val="28"/>
        </w:rPr>
        <w:t>Виллебранда</w:t>
      </w:r>
      <w:proofErr w:type="spellEnd"/>
      <w:r w:rsidRPr="001E5809">
        <w:rPr>
          <w:rStyle w:val="FontStyle14"/>
          <w:color w:val="000000"/>
          <w:sz w:val="28"/>
        </w:rPr>
        <w:t xml:space="preserve"> (фактор </w:t>
      </w:r>
      <w:r w:rsidRPr="001E5809">
        <w:rPr>
          <w:rStyle w:val="FontStyle14"/>
          <w:color w:val="000000"/>
          <w:sz w:val="28"/>
          <w:lang w:val="en-US"/>
        </w:rPr>
        <w:t>VIII</w:t>
      </w:r>
      <w:r w:rsidRPr="001E5809">
        <w:rPr>
          <w:rStyle w:val="FontStyle14"/>
          <w:color w:val="000000"/>
          <w:sz w:val="28"/>
        </w:rPr>
        <w:t>:</w:t>
      </w:r>
      <w:proofErr w:type="spellStart"/>
      <w:r w:rsidRPr="001E5809">
        <w:rPr>
          <w:rStyle w:val="FontStyle14"/>
          <w:color w:val="000000"/>
          <w:sz w:val="28"/>
          <w:lang w:val="en-US"/>
        </w:rPr>
        <w:t>vWF</w:t>
      </w:r>
      <w:proofErr w:type="spellEnd"/>
      <w:r w:rsidRPr="001E5809">
        <w:rPr>
          <w:rStyle w:val="FontStyle14"/>
          <w:color w:val="000000"/>
          <w:sz w:val="28"/>
        </w:rPr>
        <w:t>) и фактора VII</w:t>
      </w:r>
      <w:r w:rsidRPr="001E5809">
        <w:rPr>
          <w:rStyle w:val="FontStyle14"/>
          <w:color w:val="000000"/>
          <w:sz w:val="28"/>
          <w:lang w:val="en-US"/>
        </w:rPr>
        <w:t>I</w:t>
      </w:r>
      <w:r w:rsidRPr="001E5809">
        <w:rPr>
          <w:rStyle w:val="FontStyle14"/>
          <w:color w:val="000000"/>
          <w:sz w:val="28"/>
        </w:rPr>
        <w:t xml:space="preserve">-антигена, обладающего </w:t>
      </w:r>
      <w:proofErr w:type="spellStart"/>
      <w:r w:rsidRPr="001E5809">
        <w:rPr>
          <w:rStyle w:val="FontStyle14"/>
          <w:color w:val="000000"/>
          <w:sz w:val="28"/>
        </w:rPr>
        <w:t>антикоагулянтной</w:t>
      </w:r>
      <w:proofErr w:type="spellEnd"/>
      <w:r w:rsidRPr="001E5809">
        <w:rPr>
          <w:rStyle w:val="FontStyle14"/>
          <w:color w:val="000000"/>
          <w:sz w:val="28"/>
        </w:rPr>
        <w:t xml:space="preserve"> активностью. Выработка каждого из них по отдельности контролируется генетически. Фактор </w:t>
      </w:r>
      <w:r w:rsidRPr="001E5809">
        <w:rPr>
          <w:rStyle w:val="FontStyle14"/>
          <w:color w:val="000000"/>
          <w:sz w:val="28"/>
          <w:lang w:val="en-US"/>
        </w:rPr>
        <w:t>VIII</w:t>
      </w:r>
      <w:r w:rsidRPr="001E5809">
        <w:rPr>
          <w:rStyle w:val="FontStyle14"/>
          <w:color w:val="000000"/>
          <w:sz w:val="28"/>
        </w:rPr>
        <w:t>:</w:t>
      </w:r>
      <w:proofErr w:type="spellStart"/>
      <w:r w:rsidRPr="001E5809">
        <w:rPr>
          <w:rStyle w:val="FontStyle14"/>
          <w:color w:val="000000"/>
          <w:sz w:val="28"/>
          <w:lang w:val="en-US"/>
        </w:rPr>
        <w:t>vWF</w:t>
      </w:r>
      <w:proofErr w:type="spellEnd"/>
      <w:r w:rsidRPr="001E5809">
        <w:rPr>
          <w:rStyle w:val="FontStyle14"/>
          <w:color w:val="000000"/>
          <w:sz w:val="28"/>
        </w:rPr>
        <w:t xml:space="preserve"> необходим и для адгезии тромбоцитов, и для формирования окончательного тромба путем регуляции и высвобождения </w:t>
      </w:r>
      <w:r w:rsidRPr="001E5809">
        <w:rPr>
          <w:rStyle w:val="FontStyle14"/>
          <w:color w:val="000000"/>
          <w:sz w:val="28"/>
        </w:rPr>
        <w:lastRenderedPageBreak/>
        <w:t xml:space="preserve">фактора </w:t>
      </w:r>
      <w:r w:rsidRPr="001E5809">
        <w:rPr>
          <w:rStyle w:val="FontStyle14"/>
          <w:color w:val="000000"/>
          <w:sz w:val="28"/>
          <w:lang w:val="en-US"/>
        </w:rPr>
        <w:t>VIII</w:t>
      </w:r>
      <w:r w:rsidRPr="001E5809">
        <w:rPr>
          <w:rStyle w:val="FontStyle14"/>
          <w:color w:val="000000"/>
          <w:sz w:val="28"/>
        </w:rPr>
        <w:t xml:space="preserve">-антигена. При болезни фон </w:t>
      </w:r>
      <w:proofErr w:type="spellStart"/>
      <w:r w:rsidRPr="001E5809">
        <w:rPr>
          <w:rStyle w:val="FontStyle14"/>
          <w:color w:val="000000"/>
          <w:sz w:val="28"/>
        </w:rPr>
        <w:t>Виллебранда</w:t>
      </w:r>
      <w:proofErr w:type="spellEnd"/>
      <w:r w:rsidRPr="001E5809">
        <w:rPr>
          <w:rStyle w:val="FontStyle14"/>
          <w:color w:val="000000"/>
          <w:sz w:val="28"/>
        </w:rPr>
        <w:t xml:space="preserve"> снижается уровень и фактора </w:t>
      </w:r>
      <w:r w:rsidRPr="001E5809">
        <w:rPr>
          <w:rStyle w:val="FontStyle14"/>
          <w:color w:val="000000"/>
          <w:sz w:val="28"/>
          <w:lang w:val="en-US"/>
        </w:rPr>
        <w:t>VIII</w:t>
      </w:r>
      <w:r w:rsidRPr="001E5809">
        <w:rPr>
          <w:rStyle w:val="FontStyle14"/>
          <w:color w:val="000000"/>
          <w:sz w:val="28"/>
        </w:rPr>
        <w:t xml:space="preserve">-антигена, и фактора </w:t>
      </w:r>
      <w:r w:rsidRPr="001E5809">
        <w:rPr>
          <w:rStyle w:val="FontStyle14"/>
          <w:color w:val="000000"/>
          <w:sz w:val="28"/>
          <w:lang w:val="en-US"/>
        </w:rPr>
        <w:t>VIII</w:t>
      </w:r>
      <w:r w:rsidRPr="001E5809">
        <w:rPr>
          <w:rStyle w:val="FontStyle14"/>
          <w:color w:val="000000"/>
          <w:sz w:val="28"/>
        </w:rPr>
        <w:t>:</w:t>
      </w:r>
      <w:proofErr w:type="spellStart"/>
      <w:r w:rsidRPr="001E5809">
        <w:rPr>
          <w:rStyle w:val="FontStyle14"/>
          <w:color w:val="000000"/>
          <w:sz w:val="28"/>
          <w:lang w:val="en-US"/>
        </w:rPr>
        <w:t>vWF</w:t>
      </w:r>
      <w:proofErr w:type="spellEnd"/>
      <w:r w:rsidRPr="001E5809">
        <w:rPr>
          <w:rStyle w:val="FontStyle14"/>
          <w:color w:val="000000"/>
          <w:sz w:val="28"/>
        </w:rPr>
        <w:t>.</w:t>
      </w:r>
    </w:p>
    <w:p w:rsidR="009240FE" w:rsidRPr="00AC5F23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9240FE">
      <w:pPr>
        <w:pStyle w:val="Style3"/>
        <w:widowControl/>
        <w:tabs>
          <w:tab w:val="left" w:pos="274"/>
        </w:tabs>
        <w:spacing w:line="360" w:lineRule="auto"/>
        <w:ind w:firstLine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 xml:space="preserve">Каким образом локализуется процесс </w:t>
      </w:r>
      <w:proofErr w:type="spellStart"/>
      <w:r w:rsidRPr="001E5809">
        <w:rPr>
          <w:rStyle w:val="FontStyle12"/>
          <w:color w:val="000000"/>
          <w:sz w:val="28"/>
        </w:rPr>
        <w:t>тромбообразования</w:t>
      </w:r>
      <w:proofErr w:type="spellEnd"/>
      <w:r w:rsidRPr="001E5809">
        <w:rPr>
          <w:rStyle w:val="FontStyle12"/>
          <w:color w:val="000000"/>
          <w:sz w:val="28"/>
        </w:rPr>
        <w:t>?</w:t>
      </w:r>
    </w:p>
    <w:p w:rsidR="009240FE" w:rsidRPr="009240FE" w:rsidRDefault="009240FE" w:rsidP="009240FE">
      <w:pPr>
        <w:pStyle w:val="Style2"/>
        <w:widowControl/>
        <w:spacing w:line="360" w:lineRule="auto"/>
        <w:ind w:firstLine="1560"/>
        <w:rPr>
          <w:rStyle w:val="FontStyle14"/>
          <w:color w:val="000000"/>
          <w:sz w:val="28"/>
        </w:rPr>
      </w:pPr>
    </w:p>
    <w:p w:rsidR="0089056B" w:rsidRPr="001E5809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Процесс свертывания и ограничения </w:t>
      </w:r>
      <w:proofErr w:type="spellStart"/>
      <w:r w:rsidRPr="001E5809">
        <w:rPr>
          <w:rStyle w:val="FontStyle14"/>
          <w:color w:val="000000"/>
          <w:sz w:val="28"/>
        </w:rPr>
        <w:t>тромбообразования</w:t>
      </w:r>
      <w:proofErr w:type="spellEnd"/>
      <w:r w:rsidRPr="001E5809">
        <w:rPr>
          <w:rStyle w:val="FontStyle14"/>
          <w:color w:val="000000"/>
          <w:sz w:val="28"/>
        </w:rPr>
        <w:t xml:space="preserve"> местом повреждения сосуда регулируют несколько механизмов: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57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Быстрый кровоток разбавляет факторы свертывания ниже пороговой </w:t>
      </w:r>
      <w:proofErr w:type="spellStart"/>
      <w:r w:rsidRPr="001E5809">
        <w:rPr>
          <w:rStyle w:val="FontStyle14"/>
          <w:color w:val="000000"/>
          <w:sz w:val="28"/>
        </w:rPr>
        <w:t>коагуляционной</w:t>
      </w:r>
      <w:proofErr w:type="spellEnd"/>
      <w:r w:rsidRPr="001E5809">
        <w:rPr>
          <w:rStyle w:val="FontStyle14"/>
          <w:color w:val="000000"/>
          <w:sz w:val="28"/>
        </w:rPr>
        <w:t xml:space="preserve"> концентрации.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57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Активированные факторы свертывания </w:t>
      </w:r>
      <w:proofErr w:type="spellStart"/>
      <w:r w:rsidRPr="001E5809">
        <w:rPr>
          <w:rStyle w:val="FontStyle14"/>
          <w:color w:val="000000"/>
          <w:sz w:val="28"/>
        </w:rPr>
        <w:t>метаболизируются</w:t>
      </w:r>
      <w:proofErr w:type="spellEnd"/>
      <w:r w:rsidRPr="001E5809">
        <w:rPr>
          <w:rStyle w:val="FontStyle14"/>
          <w:color w:val="000000"/>
          <w:sz w:val="28"/>
        </w:rPr>
        <w:t xml:space="preserve"> преимущественно в печени и ретикулоэндотелиальной системе.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57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В крови циркулируют естественные антикоагулянты: 1) антитромбин III является ингибитором плазменных протеаз, работает как «уборщик» протеаз; 2) протеин С и его </w:t>
      </w:r>
      <w:proofErr w:type="spellStart"/>
      <w:r w:rsidRPr="001E5809">
        <w:rPr>
          <w:rStyle w:val="FontStyle14"/>
          <w:color w:val="000000"/>
          <w:sz w:val="28"/>
        </w:rPr>
        <w:t>кофактор</w:t>
      </w:r>
      <w:proofErr w:type="spellEnd"/>
      <w:r w:rsidRPr="001E5809">
        <w:rPr>
          <w:rStyle w:val="FontStyle14"/>
          <w:color w:val="000000"/>
          <w:sz w:val="28"/>
        </w:rPr>
        <w:t xml:space="preserve"> </w:t>
      </w:r>
      <w:r w:rsidRPr="001E5809">
        <w:rPr>
          <w:rStyle w:val="FontStyle14"/>
          <w:color w:val="000000"/>
          <w:sz w:val="28"/>
          <w:lang w:val="en-US"/>
        </w:rPr>
        <w:t>S</w:t>
      </w:r>
      <w:r w:rsidRPr="001E5809">
        <w:rPr>
          <w:rStyle w:val="FontStyle14"/>
          <w:color w:val="000000"/>
          <w:sz w:val="28"/>
        </w:rPr>
        <w:t xml:space="preserve"> инактивируют активные формы </w:t>
      </w:r>
      <w:proofErr w:type="spellStart"/>
      <w:r w:rsidRPr="001E5809">
        <w:rPr>
          <w:rStyle w:val="FontStyle14"/>
          <w:color w:val="000000"/>
          <w:sz w:val="28"/>
        </w:rPr>
        <w:t>кофакторов</w:t>
      </w:r>
      <w:proofErr w:type="spellEnd"/>
      <w:r w:rsidRPr="001E5809">
        <w:rPr>
          <w:rStyle w:val="FontStyle14"/>
          <w:color w:val="000000"/>
          <w:sz w:val="28"/>
        </w:rPr>
        <w:t xml:space="preserve"> VIII и V.</w:t>
      </w:r>
    </w:p>
    <w:p w:rsidR="0089056B" w:rsidRPr="009240FE" w:rsidRDefault="0089056B" w:rsidP="001E5809">
      <w:pPr>
        <w:pStyle w:val="Style1"/>
        <w:widowControl/>
        <w:numPr>
          <w:ilvl w:val="0"/>
          <w:numId w:val="8"/>
        </w:numPr>
        <w:tabs>
          <w:tab w:val="left" w:pos="457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Активация </w:t>
      </w:r>
      <w:proofErr w:type="spellStart"/>
      <w:r w:rsidRPr="001E5809">
        <w:rPr>
          <w:rStyle w:val="FontStyle14"/>
          <w:color w:val="000000"/>
          <w:sz w:val="28"/>
        </w:rPr>
        <w:t>фибринолитической</w:t>
      </w:r>
      <w:proofErr w:type="spellEnd"/>
      <w:r w:rsidRPr="001E5809">
        <w:rPr>
          <w:rStyle w:val="FontStyle14"/>
          <w:color w:val="000000"/>
          <w:sz w:val="28"/>
        </w:rPr>
        <w:t xml:space="preserve"> системы приводит к расщеплению фибрина с целью предотвращения тромботической окклюзии, и </w:t>
      </w:r>
      <w:proofErr w:type="spellStart"/>
      <w:r w:rsidRPr="001E5809">
        <w:rPr>
          <w:rStyle w:val="FontStyle14"/>
          <w:color w:val="000000"/>
          <w:sz w:val="28"/>
        </w:rPr>
        <w:t>реканализации</w:t>
      </w:r>
      <w:proofErr w:type="spellEnd"/>
      <w:r w:rsidRPr="001E5809">
        <w:rPr>
          <w:rStyle w:val="FontStyle14"/>
          <w:color w:val="000000"/>
          <w:sz w:val="28"/>
        </w:rPr>
        <w:t xml:space="preserve"> сосуда. </w:t>
      </w:r>
      <w:proofErr w:type="spellStart"/>
      <w:r w:rsidRPr="001E5809">
        <w:rPr>
          <w:rStyle w:val="FontStyle14"/>
          <w:color w:val="000000"/>
          <w:sz w:val="28"/>
        </w:rPr>
        <w:t>Фибринолиз</w:t>
      </w:r>
      <w:proofErr w:type="spellEnd"/>
      <w:r w:rsidRPr="001E5809">
        <w:rPr>
          <w:rStyle w:val="FontStyle14"/>
          <w:color w:val="000000"/>
          <w:sz w:val="28"/>
        </w:rPr>
        <w:t xml:space="preserve"> обусловлен главным образом действием плазмина, который образуется из </w:t>
      </w:r>
      <w:proofErr w:type="spellStart"/>
      <w:r w:rsidRPr="001E5809">
        <w:rPr>
          <w:rStyle w:val="FontStyle14"/>
          <w:color w:val="000000"/>
          <w:sz w:val="28"/>
        </w:rPr>
        <w:t>плазминогена</w:t>
      </w:r>
      <w:proofErr w:type="spellEnd"/>
      <w:r w:rsidRPr="001E5809">
        <w:rPr>
          <w:rStyle w:val="FontStyle14"/>
          <w:color w:val="000000"/>
          <w:sz w:val="28"/>
        </w:rPr>
        <w:t xml:space="preserve">. Наиболее важным активатором </w:t>
      </w:r>
      <w:proofErr w:type="spellStart"/>
      <w:r w:rsidRPr="001E5809">
        <w:rPr>
          <w:rStyle w:val="FontStyle14"/>
          <w:color w:val="000000"/>
          <w:sz w:val="28"/>
        </w:rPr>
        <w:t>плазминогена</w:t>
      </w:r>
      <w:proofErr w:type="spellEnd"/>
      <w:r w:rsidRPr="001E5809">
        <w:rPr>
          <w:rStyle w:val="FontStyle14"/>
          <w:color w:val="000000"/>
          <w:sz w:val="28"/>
        </w:rPr>
        <w:t xml:space="preserve"> является его </w:t>
      </w:r>
      <w:r w:rsidRPr="001E5809">
        <w:rPr>
          <w:rStyle w:val="FontStyle17"/>
          <w:color w:val="000000"/>
          <w:sz w:val="28"/>
        </w:rPr>
        <w:t xml:space="preserve">тканевой активатор, </w:t>
      </w:r>
      <w:r w:rsidRPr="001E5809">
        <w:rPr>
          <w:rStyle w:val="FontStyle14"/>
          <w:color w:val="000000"/>
          <w:sz w:val="28"/>
        </w:rPr>
        <w:t xml:space="preserve">выделяющийся из </w:t>
      </w:r>
      <w:proofErr w:type="spellStart"/>
      <w:r w:rsidRPr="001E5809">
        <w:rPr>
          <w:rStyle w:val="FontStyle14"/>
          <w:color w:val="000000"/>
          <w:sz w:val="28"/>
        </w:rPr>
        <w:t>эндотелиоцитов</w:t>
      </w:r>
      <w:proofErr w:type="spellEnd"/>
      <w:r w:rsidRPr="001E5809">
        <w:rPr>
          <w:rStyle w:val="FontStyle14"/>
          <w:color w:val="000000"/>
          <w:sz w:val="28"/>
        </w:rPr>
        <w:t>.</w:t>
      </w:r>
    </w:p>
    <w:p w:rsidR="009240FE" w:rsidRPr="001E5809" w:rsidRDefault="009240FE" w:rsidP="009240FE">
      <w:pPr>
        <w:pStyle w:val="Style1"/>
        <w:widowControl/>
        <w:tabs>
          <w:tab w:val="left" w:pos="457"/>
        </w:tabs>
        <w:spacing w:line="360" w:lineRule="auto"/>
        <w:ind w:left="709" w:firstLine="0"/>
        <w:rPr>
          <w:rStyle w:val="FontStyle14"/>
          <w:color w:val="000000"/>
          <w:sz w:val="28"/>
        </w:rPr>
      </w:pPr>
    </w:p>
    <w:p w:rsidR="0089056B" w:rsidRPr="001E5809" w:rsidRDefault="0089056B" w:rsidP="009240FE">
      <w:pPr>
        <w:pStyle w:val="Style3"/>
        <w:widowControl/>
        <w:tabs>
          <w:tab w:val="left" w:pos="274"/>
        </w:tabs>
        <w:spacing w:line="360" w:lineRule="auto"/>
        <w:ind w:left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Каким образом дефицит витамина К влияет на свертывание крови?</w:t>
      </w:r>
    </w:p>
    <w:p w:rsidR="009240FE" w:rsidRPr="009240FE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Четыре фактора свертывания (II, VII, IX, X), синтезирующиеся в печени, претерпевают опосредованную витамином К ферментативную реакцию, в результате которой в их структуру добавляется карбоксильная группа. Эта группа делает эти факторы способными под действием кальция связываться с фосфолипидной поверхностью. В отсутствие витамина </w:t>
      </w:r>
      <w:r w:rsidRPr="001E5809">
        <w:rPr>
          <w:rStyle w:val="FontStyle12"/>
          <w:color w:val="000000"/>
          <w:sz w:val="28"/>
        </w:rPr>
        <w:t xml:space="preserve">К </w:t>
      </w:r>
      <w:r w:rsidRPr="001E5809">
        <w:rPr>
          <w:rStyle w:val="FontStyle14"/>
          <w:color w:val="000000"/>
          <w:sz w:val="28"/>
        </w:rPr>
        <w:t xml:space="preserve">эти </w:t>
      </w:r>
      <w:r w:rsidRPr="001E5809">
        <w:rPr>
          <w:rStyle w:val="FontStyle14"/>
          <w:color w:val="000000"/>
          <w:sz w:val="28"/>
        </w:rPr>
        <w:lastRenderedPageBreak/>
        <w:t xml:space="preserve">факторы синтезируются, однако не могут выполнять свои функции. Внешний механизм коагуляции нарушается в первую очередь при дефиците витамина </w:t>
      </w:r>
      <w:r w:rsidRPr="001E5809">
        <w:rPr>
          <w:rStyle w:val="FontStyle12"/>
          <w:color w:val="000000"/>
          <w:sz w:val="28"/>
        </w:rPr>
        <w:t xml:space="preserve">К </w:t>
      </w:r>
      <w:r w:rsidRPr="001E5809">
        <w:rPr>
          <w:rStyle w:val="FontStyle14"/>
          <w:color w:val="000000"/>
          <w:sz w:val="28"/>
        </w:rPr>
        <w:t xml:space="preserve">или нарушении функции печени, так как фактор VII имеет самый короткий период полураспада и участвует только во внешнем механизме. При затягивающемся дефиците поражаются и внешний, и внутренний механизмы коагуляции. Препараты ряда </w:t>
      </w:r>
      <w:proofErr w:type="spellStart"/>
      <w:r w:rsidRPr="001E5809">
        <w:rPr>
          <w:rStyle w:val="FontStyle14"/>
          <w:color w:val="000000"/>
          <w:sz w:val="28"/>
        </w:rPr>
        <w:t>варфарина</w:t>
      </w:r>
      <w:proofErr w:type="spellEnd"/>
      <w:r w:rsidRPr="001E5809">
        <w:rPr>
          <w:rStyle w:val="FontStyle14"/>
          <w:color w:val="000000"/>
          <w:sz w:val="28"/>
        </w:rPr>
        <w:t xml:space="preserve"> конкурируют с витамином К за места связывания на </w:t>
      </w:r>
      <w:proofErr w:type="spellStart"/>
      <w:r w:rsidRPr="001E5809">
        <w:rPr>
          <w:rStyle w:val="FontStyle14"/>
          <w:color w:val="000000"/>
          <w:sz w:val="28"/>
        </w:rPr>
        <w:t>гепатоците</w:t>
      </w:r>
      <w:proofErr w:type="spellEnd"/>
      <w:r w:rsidRPr="001E5809">
        <w:rPr>
          <w:rStyle w:val="FontStyle14"/>
          <w:color w:val="000000"/>
          <w:sz w:val="28"/>
        </w:rPr>
        <w:t xml:space="preserve">. Подкожное назначение витамина </w:t>
      </w:r>
      <w:r w:rsidRPr="001E5809">
        <w:rPr>
          <w:rStyle w:val="FontStyle12"/>
          <w:color w:val="000000"/>
          <w:sz w:val="28"/>
        </w:rPr>
        <w:t xml:space="preserve">К </w:t>
      </w:r>
      <w:r w:rsidRPr="001E5809">
        <w:rPr>
          <w:rStyle w:val="FontStyle14"/>
          <w:color w:val="000000"/>
          <w:sz w:val="28"/>
        </w:rPr>
        <w:t>устраняет функциональный дефицит за 6—24 ч. При интенсивных кровотечениях или в срочной хирургии с целью неотложного гемостаза может быть назначена свежезамороженная плазма (СЗП).</w:t>
      </w:r>
    </w:p>
    <w:p w:rsidR="009240FE" w:rsidRPr="00AC5F23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9240FE">
      <w:pPr>
        <w:pStyle w:val="Style3"/>
        <w:widowControl/>
        <w:tabs>
          <w:tab w:val="left" w:pos="259"/>
        </w:tabs>
        <w:spacing w:line="360" w:lineRule="auto"/>
        <w:ind w:left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Каким образом гепарин действует как антикоагулянт?</w:t>
      </w:r>
    </w:p>
    <w:p w:rsidR="009240FE" w:rsidRPr="009240FE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Гепарин является </w:t>
      </w:r>
      <w:proofErr w:type="spellStart"/>
      <w:r w:rsidRPr="001E5809">
        <w:rPr>
          <w:rStyle w:val="FontStyle14"/>
          <w:color w:val="000000"/>
          <w:sz w:val="28"/>
        </w:rPr>
        <w:t>полианионным</w:t>
      </w:r>
      <w:proofErr w:type="spellEnd"/>
      <w:r w:rsidRPr="001E5809">
        <w:rPr>
          <w:rStyle w:val="FontStyle14"/>
          <w:color w:val="000000"/>
          <w:sz w:val="28"/>
        </w:rPr>
        <w:t xml:space="preserve"> </w:t>
      </w:r>
      <w:proofErr w:type="spellStart"/>
      <w:r w:rsidRPr="001E5809">
        <w:rPr>
          <w:rStyle w:val="FontStyle14"/>
          <w:color w:val="000000"/>
          <w:sz w:val="28"/>
        </w:rPr>
        <w:t>мукополисахаридом</w:t>
      </w:r>
      <w:proofErr w:type="spellEnd"/>
      <w:r w:rsidRPr="001E5809">
        <w:rPr>
          <w:rStyle w:val="FontStyle14"/>
          <w:color w:val="000000"/>
          <w:sz w:val="28"/>
        </w:rPr>
        <w:t xml:space="preserve">, который ускоряет взаимодействие между антитромбином III и активированными формами факторов II, X, XI, XII и XIII, эффективно нейтрализуя каждый. Период полувыведения гепарина составляет примерно 90 мин в условиях </w:t>
      </w:r>
      <w:proofErr w:type="spellStart"/>
      <w:r w:rsidRPr="001E5809">
        <w:rPr>
          <w:rStyle w:val="FontStyle14"/>
          <w:color w:val="000000"/>
          <w:sz w:val="28"/>
        </w:rPr>
        <w:t>нормотермии</w:t>
      </w:r>
      <w:proofErr w:type="spellEnd"/>
      <w:r w:rsidRPr="001E5809">
        <w:rPr>
          <w:rStyle w:val="FontStyle14"/>
          <w:color w:val="000000"/>
          <w:sz w:val="28"/>
        </w:rPr>
        <w:t>. Больные со сниженным уровнем антитромбина III устойчивы к действию гепарина. Гепарин может также влиять на функцию тромбоцитов и их количество за счет иммунологически опосредованного механизма или сразу после назначения, или через 5—10 дней (благодаря развитию и действию так называемого синдрома гепарин-</w:t>
      </w:r>
      <w:proofErr w:type="spellStart"/>
      <w:r w:rsidRPr="001E5809">
        <w:rPr>
          <w:rStyle w:val="FontStyle14"/>
          <w:color w:val="000000"/>
          <w:sz w:val="28"/>
        </w:rPr>
        <w:t>инду</w:t>
      </w:r>
      <w:proofErr w:type="spellEnd"/>
      <w:r w:rsidRPr="001E5809">
        <w:rPr>
          <w:rStyle w:val="FontStyle14"/>
          <w:color w:val="000000"/>
          <w:sz w:val="28"/>
        </w:rPr>
        <w:t>-</w:t>
      </w:r>
      <w:proofErr w:type="spellStart"/>
      <w:r w:rsidRPr="001E5809">
        <w:rPr>
          <w:rStyle w:val="FontStyle14"/>
          <w:color w:val="000000"/>
          <w:sz w:val="28"/>
        </w:rPr>
        <w:t>цированных</w:t>
      </w:r>
      <w:proofErr w:type="spellEnd"/>
      <w:r w:rsidRPr="001E5809">
        <w:rPr>
          <w:rStyle w:val="FontStyle14"/>
          <w:color w:val="000000"/>
          <w:sz w:val="28"/>
        </w:rPr>
        <w:t xml:space="preserve"> тромбоцитопении и тромбоза, или </w:t>
      </w:r>
      <w:r w:rsidRPr="001E5809">
        <w:rPr>
          <w:rStyle w:val="FontStyle14"/>
          <w:color w:val="000000"/>
          <w:sz w:val="28"/>
          <w:lang w:val="en-US"/>
        </w:rPr>
        <w:t>HITT</w:t>
      </w:r>
      <w:r w:rsidRPr="001E5809">
        <w:rPr>
          <w:rStyle w:val="FontStyle14"/>
          <w:color w:val="000000"/>
          <w:sz w:val="28"/>
        </w:rPr>
        <w:t xml:space="preserve">-синдрома. — </w:t>
      </w:r>
      <w:r w:rsidRPr="001E5809">
        <w:rPr>
          <w:rStyle w:val="FontStyle17"/>
          <w:color w:val="000000"/>
          <w:sz w:val="28"/>
        </w:rPr>
        <w:t>Примеч. ред.).</w:t>
      </w:r>
    </w:p>
    <w:p w:rsidR="009240FE" w:rsidRPr="00AC5F23" w:rsidRDefault="009240FE" w:rsidP="001E5809">
      <w:pPr>
        <w:pStyle w:val="Style2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89056B" w:rsidRPr="001E5809" w:rsidRDefault="0089056B" w:rsidP="009240FE">
      <w:pPr>
        <w:pStyle w:val="Style3"/>
        <w:widowControl/>
        <w:tabs>
          <w:tab w:val="left" w:pos="259"/>
        </w:tabs>
        <w:spacing w:line="360" w:lineRule="auto"/>
        <w:ind w:left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Опишите различные способы исследования свертывания крови?</w:t>
      </w:r>
    </w:p>
    <w:p w:rsidR="009240FE" w:rsidRPr="009240FE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Основное различие между внутренним и внешним механизмами — фосфолипидные поверхности, на которых взаимодействуют </w:t>
      </w:r>
      <w:proofErr w:type="spellStart"/>
      <w:r w:rsidRPr="001E5809">
        <w:rPr>
          <w:rStyle w:val="FontStyle14"/>
          <w:color w:val="000000"/>
          <w:sz w:val="28"/>
        </w:rPr>
        <w:t>коагуляционные</w:t>
      </w:r>
      <w:proofErr w:type="spellEnd"/>
      <w:r w:rsidRPr="001E5809">
        <w:rPr>
          <w:rStyle w:val="FontStyle14"/>
          <w:color w:val="000000"/>
          <w:sz w:val="28"/>
        </w:rPr>
        <w:t xml:space="preserve"> факторы до того, как произойдет объединение в общий механизм. К плазме больного добавляют либо </w:t>
      </w:r>
      <w:proofErr w:type="spellStart"/>
      <w:r w:rsidRPr="001E5809">
        <w:rPr>
          <w:rStyle w:val="FontStyle14"/>
          <w:color w:val="000000"/>
          <w:sz w:val="28"/>
        </w:rPr>
        <w:t>тромбоцитарный</w:t>
      </w:r>
      <w:proofErr w:type="spellEnd"/>
      <w:r w:rsidRPr="001E5809">
        <w:rPr>
          <w:rStyle w:val="FontStyle14"/>
          <w:color w:val="000000"/>
          <w:sz w:val="28"/>
        </w:rPr>
        <w:t xml:space="preserve"> фосфолипид (для внутреннего </w:t>
      </w:r>
      <w:r w:rsidRPr="001E5809">
        <w:rPr>
          <w:rStyle w:val="FontStyle14"/>
          <w:color w:val="000000"/>
          <w:sz w:val="28"/>
        </w:rPr>
        <w:lastRenderedPageBreak/>
        <w:t xml:space="preserve">механизма), либо тканевой </w:t>
      </w:r>
      <w:proofErr w:type="spellStart"/>
      <w:r w:rsidRPr="001E5809">
        <w:rPr>
          <w:rStyle w:val="FontStyle14"/>
          <w:color w:val="000000"/>
          <w:sz w:val="28"/>
        </w:rPr>
        <w:t>тромбопластин</w:t>
      </w:r>
      <w:proofErr w:type="spellEnd"/>
      <w:r w:rsidRPr="001E5809">
        <w:rPr>
          <w:rStyle w:val="FontStyle14"/>
          <w:color w:val="000000"/>
          <w:sz w:val="28"/>
        </w:rPr>
        <w:t xml:space="preserve"> (для внешнего механизма), после чего измеряют время формирования тромба. Чувствительность методов позволяет выявить наличие фактора даже при его активности менее 30% нормы. Тесты пролонгируются при снижении концентрации фибриногена (менее 1 г/л) и </w:t>
      </w:r>
      <w:proofErr w:type="spellStart"/>
      <w:r w:rsidRPr="001E5809">
        <w:rPr>
          <w:rStyle w:val="FontStyle14"/>
          <w:color w:val="000000"/>
          <w:sz w:val="28"/>
        </w:rPr>
        <w:t>дисфибриногенемиях</w:t>
      </w:r>
      <w:proofErr w:type="spellEnd"/>
      <w:r w:rsidRPr="001E5809">
        <w:rPr>
          <w:rStyle w:val="FontStyle14"/>
          <w:color w:val="000000"/>
          <w:sz w:val="28"/>
        </w:rPr>
        <w:t>.</w:t>
      </w:r>
    </w:p>
    <w:p w:rsidR="0089056B" w:rsidRPr="001E5809" w:rsidRDefault="0089056B" w:rsidP="001E5809">
      <w:pPr>
        <w:pStyle w:val="Style4"/>
        <w:widowControl/>
        <w:spacing w:line="360" w:lineRule="auto"/>
        <w:ind w:firstLine="709"/>
        <w:jc w:val="both"/>
        <w:rPr>
          <w:rStyle w:val="FontStyle18"/>
          <w:color w:val="000000"/>
          <w:sz w:val="28"/>
        </w:rPr>
      </w:pPr>
      <w:r w:rsidRPr="001E5809">
        <w:rPr>
          <w:rStyle w:val="FontStyle18"/>
          <w:color w:val="000000"/>
          <w:sz w:val="28"/>
        </w:rPr>
        <w:t>Методы оценки внутреннего и общего механизмов.</w:t>
      </w:r>
    </w:p>
    <w:p w:rsidR="0089056B" w:rsidRPr="001E5809" w:rsidRDefault="0089056B" w:rsidP="001E5809">
      <w:pPr>
        <w:pStyle w:val="Style8"/>
        <w:widowControl/>
        <w:numPr>
          <w:ilvl w:val="0"/>
          <w:numId w:val="16"/>
        </w:numPr>
        <w:tabs>
          <w:tab w:val="left" w:pos="450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Парциальное (частичное) </w:t>
      </w:r>
      <w:proofErr w:type="spellStart"/>
      <w:r w:rsidRPr="001E5809">
        <w:rPr>
          <w:rStyle w:val="FontStyle14"/>
          <w:color w:val="000000"/>
          <w:sz w:val="28"/>
        </w:rPr>
        <w:t>тромбопластиновое</w:t>
      </w:r>
      <w:proofErr w:type="spellEnd"/>
      <w:r w:rsidRPr="001E5809">
        <w:rPr>
          <w:rStyle w:val="FontStyle14"/>
          <w:color w:val="000000"/>
          <w:sz w:val="28"/>
        </w:rPr>
        <w:t xml:space="preserve"> время (ПТВ, или ЧТВ).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Парциальный </w:t>
      </w:r>
      <w:proofErr w:type="spellStart"/>
      <w:r w:rsidRPr="001E5809">
        <w:rPr>
          <w:rStyle w:val="FontStyle14"/>
          <w:color w:val="000000"/>
          <w:sz w:val="28"/>
        </w:rPr>
        <w:t>тромбопластин</w:t>
      </w:r>
      <w:proofErr w:type="spellEnd"/>
      <w:r w:rsidRPr="001E5809">
        <w:rPr>
          <w:rStyle w:val="FontStyle14"/>
          <w:color w:val="000000"/>
          <w:sz w:val="28"/>
        </w:rPr>
        <w:t xml:space="preserve"> заменен </w:t>
      </w:r>
      <w:proofErr w:type="spellStart"/>
      <w:r w:rsidRPr="001E5809">
        <w:rPr>
          <w:rStyle w:val="FontStyle14"/>
          <w:color w:val="000000"/>
          <w:sz w:val="28"/>
        </w:rPr>
        <w:t>тромбоцитарным</w:t>
      </w:r>
      <w:proofErr w:type="spellEnd"/>
      <w:r w:rsidRPr="001E5809">
        <w:rPr>
          <w:rStyle w:val="FontStyle14"/>
          <w:color w:val="000000"/>
          <w:sz w:val="28"/>
        </w:rPr>
        <w:t xml:space="preserve"> фосфолипидом, чтобы устранить </w:t>
      </w:r>
      <w:proofErr w:type="spellStart"/>
      <w:r w:rsidRPr="001E5809">
        <w:rPr>
          <w:rStyle w:val="FontStyle14"/>
          <w:color w:val="000000"/>
          <w:sz w:val="28"/>
        </w:rPr>
        <w:t>тромбоцитарную</w:t>
      </w:r>
      <w:proofErr w:type="spellEnd"/>
      <w:r w:rsidRPr="001E5809">
        <w:rPr>
          <w:rStyle w:val="FontStyle14"/>
          <w:color w:val="000000"/>
          <w:sz w:val="28"/>
        </w:rPr>
        <w:t xml:space="preserve"> вариабельность.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ЧТВ характеризует свертывающую способность всех факторов внутреннего и общего механизмов, за исключением фактора XIII.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Норма ЧТВ — около 40—100 с; </w:t>
      </w:r>
      <w:proofErr w:type="spellStart"/>
      <w:r w:rsidRPr="001E5809">
        <w:rPr>
          <w:rStyle w:val="FontStyle14"/>
          <w:color w:val="000000"/>
          <w:sz w:val="28"/>
        </w:rPr>
        <w:t>пролонгирование</w:t>
      </w:r>
      <w:proofErr w:type="spellEnd"/>
      <w:r w:rsidRPr="001E5809">
        <w:rPr>
          <w:rStyle w:val="FontStyle14"/>
          <w:color w:val="000000"/>
          <w:sz w:val="28"/>
        </w:rPr>
        <w:t xml:space="preserve"> свыше 120 с является патологией.</w:t>
      </w:r>
    </w:p>
    <w:p w:rsidR="0089056B" w:rsidRPr="001E5809" w:rsidRDefault="0089056B" w:rsidP="001E5809">
      <w:pPr>
        <w:pStyle w:val="Style8"/>
        <w:widowControl/>
        <w:numPr>
          <w:ilvl w:val="0"/>
          <w:numId w:val="17"/>
        </w:numPr>
        <w:tabs>
          <w:tab w:val="left" w:pos="450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Активированное частичное </w:t>
      </w:r>
      <w:proofErr w:type="spellStart"/>
      <w:r w:rsidRPr="001E5809">
        <w:rPr>
          <w:rStyle w:val="FontStyle14"/>
          <w:color w:val="000000"/>
          <w:sz w:val="28"/>
        </w:rPr>
        <w:t>тромбопластиновое</w:t>
      </w:r>
      <w:proofErr w:type="spellEnd"/>
      <w:r w:rsidRPr="001E5809">
        <w:rPr>
          <w:rStyle w:val="FontStyle14"/>
          <w:color w:val="000000"/>
          <w:sz w:val="28"/>
        </w:rPr>
        <w:t xml:space="preserve"> время (АЧТВ).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В пробирку перед введением парциального </w:t>
      </w:r>
      <w:proofErr w:type="spellStart"/>
      <w:r w:rsidRPr="001E5809">
        <w:rPr>
          <w:rStyle w:val="FontStyle14"/>
          <w:color w:val="000000"/>
          <w:sz w:val="28"/>
        </w:rPr>
        <w:t>тромбопластина</w:t>
      </w:r>
      <w:proofErr w:type="spellEnd"/>
      <w:r w:rsidRPr="001E5809">
        <w:rPr>
          <w:rStyle w:val="FontStyle14"/>
          <w:color w:val="000000"/>
          <w:sz w:val="28"/>
        </w:rPr>
        <w:t xml:space="preserve"> добавляют активатор.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Максимальная активация контактных факторов (XII и XI) исключает продолжительность фазы естественной контактной активации и способствует получению последовательных и воспроизводимых результатов.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Норма АЧТВ - 25-35 с.</w:t>
      </w:r>
    </w:p>
    <w:p w:rsidR="0089056B" w:rsidRPr="001E5809" w:rsidRDefault="0089056B" w:rsidP="001E5809">
      <w:pPr>
        <w:pStyle w:val="Style8"/>
        <w:widowControl/>
        <w:numPr>
          <w:ilvl w:val="0"/>
          <w:numId w:val="18"/>
        </w:numPr>
        <w:tabs>
          <w:tab w:val="left" w:pos="450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Активированное время свертывания</w:t>
      </w:r>
      <w:r w:rsidRPr="001E5809">
        <w:rPr>
          <w:rStyle w:val="FontStyle14"/>
          <w:color w:val="000000"/>
          <w:sz w:val="28"/>
          <w:lang w:val="en-US"/>
        </w:rPr>
        <w:t xml:space="preserve"> (ABC).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Свежую цельную кровь (содержащую </w:t>
      </w:r>
      <w:proofErr w:type="spellStart"/>
      <w:r w:rsidRPr="001E5809">
        <w:rPr>
          <w:rStyle w:val="FontStyle14"/>
          <w:color w:val="000000"/>
          <w:sz w:val="28"/>
        </w:rPr>
        <w:t>тромбоцитарный</w:t>
      </w:r>
      <w:proofErr w:type="spellEnd"/>
      <w:r w:rsidRPr="001E5809">
        <w:rPr>
          <w:rStyle w:val="FontStyle14"/>
          <w:color w:val="000000"/>
          <w:sz w:val="28"/>
        </w:rPr>
        <w:t xml:space="preserve"> фосфолипид) добавляют в пробирку, уже содержащую активатор.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05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Автоматизированный расчет </w:t>
      </w:r>
      <w:r w:rsidRPr="001E5809">
        <w:rPr>
          <w:rStyle w:val="FontStyle14"/>
          <w:color w:val="000000"/>
          <w:sz w:val="28"/>
          <w:lang w:val="en-US"/>
        </w:rPr>
        <w:t>ABC</w:t>
      </w:r>
      <w:r w:rsidRPr="001E5809">
        <w:rPr>
          <w:rStyle w:val="FontStyle14"/>
          <w:color w:val="000000"/>
          <w:sz w:val="28"/>
        </w:rPr>
        <w:t xml:space="preserve"> широко применяется для мониторинга терапии гепарином в операционной.</w:t>
      </w:r>
    </w:p>
    <w:p w:rsidR="009240FE" w:rsidRPr="00AC5F23" w:rsidRDefault="0089056B" w:rsidP="001E5809">
      <w:pPr>
        <w:pStyle w:val="Style6"/>
        <w:widowControl/>
        <w:tabs>
          <w:tab w:val="left" w:pos="608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•</w:t>
      </w:r>
      <w:r w:rsidRPr="001E5809">
        <w:rPr>
          <w:rStyle w:val="FontStyle14"/>
          <w:color w:val="000000"/>
          <w:sz w:val="28"/>
        </w:rPr>
        <w:tab/>
        <w:t xml:space="preserve">Нормальные значения 90—120 с. </w:t>
      </w:r>
    </w:p>
    <w:p w:rsidR="0089056B" w:rsidRPr="001E5809" w:rsidRDefault="0089056B" w:rsidP="001E5809">
      <w:pPr>
        <w:pStyle w:val="Style6"/>
        <w:widowControl/>
        <w:tabs>
          <w:tab w:val="left" w:pos="608"/>
        </w:tabs>
        <w:spacing w:line="360" w:lineRule="auto"/>
        <w:ind w:firstLine="709"/>
        <w:jc w:val="both"/>
        <w:rPr>
          <w:rStyle w:val="FontStyle18"/>
          <w:color w:val="000000"/>
          <w:sz w:val="28"/>
        </w:rPr>
      </w:pPr>
      <w:r w:rsidRPr="001E5809">
        <w:rPr>
          <w:rStyle w:val="FontStyle18"/>
          <w:color w:val="000000"/>
          <w:sz w:val="28"/>
        </w:rPr>
        <w:t>Методы оценки внешнего и общего механизмов.</w:t>
      </w:r>
    </w:p>
    <w:p w:rsidR="0089056B" w:rsidRPr="001E5809" w:rsidRDefault="0089056B" w:rsidP="001E5809">
      <w:pPr>
        <w:pStyle w:val="Style8"/>
        <w:widowControl/>
        <w:numPr>
          <w:ilvl w:val="0"/>
          <w:numId w:val="19"/>
        </w:numPr>
        <w:tabs>
          <w:tab w:val="left" w:pos="461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proofErr w:type="spellStart"/>
      <w:r w:rsidRPr="001E5809">
        <w:rPr>
          <w:rStyle w:val="FontStyle14"/>
          <w:color w:val="000000"/>
          <w:sz w:val="28"/>
        </w:rPr>
        <w:t>Протромбиновое</w:t>
      </w:r>
      <w:proofErr w:type="spellEnd"/>
      <w:r w:rsidRPr="001E5809">
        <w:rPr>
          <w:rStyle w:val="FontStyle14"/>
          <w:color w:val="000000"/>
          <w:sz w:val="28"/>
        </w:rPr>
        <w:t xml:space="preserve"> время (ПВ).</w:t>
      </w:r>
    </w:p>
    <w:p w:rsidR="0089056B" w:rsidRPr="001E5809" w:rsidRDefault="0089056B" w:rsidP="001E5809">
      <w:pPr>
        <w:pStyle w:val="Style1"/>
        <w:widowControl/>
        <w:numPr>
          <w:ilvl w:val="0"/>
          <w:numId w:val="20"/>
        </w:numPr>
        <w:tabs>
          <w:tab w:val="left" w:pos="608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Тканевой </w:t>
      </w:r>
      <w:proofErr w:type="spellStart"/>
      <w:r w:rsidRPr="001E5809">
        <w:rPr>
          <w:rStyle w:val="FontStyle14"/>
          <w:color w:val="000000"/>
          <w:sz w:val="28"/>
        </w:rPr>
        <w:t>тромбопластин</w:t>
      </w:r>
      <w:proofErr w:type="spellEnd"/>
      <w:r w:rsidRPr="001E5809">
        <w:rPr>
          <w:rStyle w:val="FontStyle14"/>
          <w:color w:val="000000"/>
          <w:sz w:val="28"/>
        </w:rPr>
        <w:t xml:space="preserve"> добавляют к плазме пациента.</w:t>
      </w:r>
    </w:p>
    <w:p w:rsidR="0089056B" w:rsidRPr="001E5809" w:rsidRDefault="0089056B" w:rsidP="001E5809">
      <w:pPr>
        <w:pStyle w:val="Style1"/>
        <w:widowControl/>
        <w:numPr>
          <w:ilvl w:val="0"/>
          <w:numId w:val="21"/>
        </w:numPr>
        <w:tabs>
          <w:tab w:val="left" w:pos="601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lastRenderedPageBreak/>
        <w:t xml:space="preserve">Чувствительность теста и результаты исследования при пероральной </w:t>
      </w:r>
      <w:proofErr w:type="spellStart"/>
      <w:r w:rsidRPr="001E5809">
        <w:rPr>
          <w:rStyle w:val="FontStyle14"/>
          <w:color w:val="000000"/>
          <w:sz w:val="28"/>
        </w:rPr>
        <w:t>антикоагулянтной</w:t>
      </w:r>
      <w:proofErr w:type="spellEnd"/>
      <w:r w:rsidRPr="001E5809">
        <w:rPr>
          <w:rStyle w:val="FontStyle14"/>
          <w:color w:val="000000"/>
          <w:sz w:val="28"/>
        </w:rPr>
        <w:t xml:space="preserve"> терапии варьируют в зависимости от того, измеряется ли ПВ в секундах или в виде простого отношения ПВ (ПВ больного/ПВ норма) (норма = </w:t>
      </w:r>
      <w:proofErr w:type="spellStart"/>
      <w:r w:rsidRPr="001E5809">
        <w:rPr>
          <w:rStyle w:val="FontStyle14"/>
          <w:color w:val="000000"/>
          <w:sz w:val="28"/>
        </w:rPr>
        <w:t>средненормальный</w:t>
      </w:r>
      <w:proofErr w:type="spellEnd"/>
      <w:r w:rsidRPr="001E5809">
        <w:rPr>
          <w:rStyle w:val="FontStyle14"/>
          <w:color w:val="000000"/>
          <w:sz w:val="28"/>
        </w:rPr>
        <w:t xml:space="preserve"> уровень ПВ лабораторной тестовой системы).</w:t>
      </w:r>
    </w:p>
    <w:p w:rsidR="0089056B" w:rsidRPr="001E5809" w:rsidRDefault="0089056B" w:rsidP="001E5809">
      <w:pPr>
        <w:pStyle w:val="Style1"/>
        <w:widowControl/>
        <w:numPr>
          <w:ilvl w:val="0"/>
          <w:numId w:val="21"/>
        </w:numPr>
        <w:tabs>
          <w:tab w:val="left" w:pos="601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Норма ПВ 10-12 с.</w:t>
      </w:r>
    </w:p>
    <w:p w:rsidR="0089056B" w:rsidRPr="001E5809" w:rsidRDefault="0089056B" w:rsidP="001E5809">
      <w:pPr>
        <w:pStyle w:val="Style8"/>
        <w:widowControl/>
        <w:numPr>
          <w:ilvl w:val="0"/>
          <w:numId w:val="22"/>
        </w:numPr>
        <w:tabs>
          <w:tab w:val="left" w:pos="461"/>
        </w:tabs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Международное нормализованное соотношение (МНС).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44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Разрабатывалось для повышения согласованности в проведении пероральной </w:t>
      </w:r>
      <w:proofErr w:type="spellStart"/>
      <w:r w:rsidRPr="001E5809">
        <w:rPr>
          <w:rStyle w:val="FontStyle14"/>
          <w:color w:val="000000"/>
          <w:sz w:val="28"/>
        </w:rPr>
        <w:t>антикоагулянтной</w:t>
      </w:r>
      <w:proofErr w:type="spellEnd"/>
      <w:r w:rsidRPr="001E5809">
        <w:rPr>
          <w:rStyle w:val="FontStyle14"/>
          <w:color w:val="000000"/>
          <w:sz w:val="28"/>
        </w:rPr>
        <w:t xml:space="preserve"> терапии.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44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Превращает ПТИ в показатель, который был бы получен при использовании стандартного метода определения ПВ.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644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МНС рассчитывается как отношение (ПВ больного/ПВ норма)</w:t>
      </w:r>
      <w:r w:rsidRPr="001E5809">
        <w:rPr>
          <w:rStyle w:val="FontStyle14"/>
          <w:color w:val="000000"/>
          <w:sz w:val="28"/>
          <w:vertAlign w:val="superscript"/>
        </w:rPr>
        <w:t>1511</w:t>
      </w:r>
      <w:r w:rsidRPr="001E5809">
        <w:rPr>
          <w:rStyle w:val="FontStyle14"/>
          <w:color w:val="000000"/>
          <w:sz w:val="28"/>
        </w:rPr>
        <w:t xml:space="preserve"> (</w:t>
      </w:r>
      <w:r w:rsidRPr="001E5809">
        <w:rPr>
          <w:rStyle w:val="FontStyle14"/>
          <w:color w:val="000000"/>
          <w:sz w:val="28"/>
          <w:lang w:val="en-US"/>
        </w:rPr>
        <w:t>ISI</w:t>
      </w:r>
      <w:r w:rsidRPr="001E5809">
        <w:rPr>
          <w:rStyle w:val="FontStyle14"/>
          <w:color w:val="000000"/>
          <w:sz w:val="28"/>
        </w:rPr>
        <w:t xml:space="preserve"> — международный индекс чувствительности для тестовой системы).</w:t>
      </w:r>
    </w:p>
    <w:p w:rsidR="0089056B" w:rsidRPr="009240FE" w:rsidRDefault="0089056B" w:rsidP="001E5809">
      <w:pPr>
        <w:pStyle w:val="Style1"/>
        <w:widowControl/>
        <w:numPr>
          <w:ilvl w:val="0"/>
          <w:numId w:val="8"/>
        </w:numPr>
        <w:tabs>
          <w:tab w:val="left" w:pos="644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Рекомендуемые терапевтические рамки для стандартной </w:t>
      </w:r>
      <w:proofErr w:type="spellStart"/>
      <w:r w:rsidRPr="001E5809">
        <w:rPr>
          <w:rStyle w:val="FontStyle14"/>
          <w:color w:val="000000"/>
          <w:sz w:val="28"/>
        </w:rPr>
        <w:t>антикоагулянтной</w:t>
      </w:r>
      <w:proofErr w:type="spellEnd"/>
      <w:r w:rsidRPr="001E5809">
        <w:rPr>
          <w:rStyle w:val="FontStyle14"/>
          <w:color w:val="000000"/>
          <w:sz w:val="28"/>
        </w:rPr>
        <w:t xml:space="preserve"> терапии и терапии в высоких дозах: 2,0—3,0 и 2,5—3,5 соответственно.</w:t>
      </w:r>
    </w:p>
    <w:p w:rsidR="009240FE" w:rsidRPr="001E5809" w:rsidRDefault="009240FE" w:rsidP="009240FE">
      <w:pPr>
        <w:pStyle w:val="Style1"/>
        <w:widowControl/>
        <w:tabs>
          <w:tab w:val="left" w:pos="644"/>
        </w:tabs>
        <w:spacing w:line="360" w:lineRule="auto"/>
        <w:ind w:left="709" w:firstLine="0"/>
        <w:jc w:val="center"/>
        <w:rPr>
          <w:rStyle w:val="FontStyle14"/>
          <w:color w:val="000000"/>
          <w:sz w:val="28"/>
        </w:rPr>
      </w:pPr>
    </w:p>
    <w:p w:rsidR="0089056B" w:rsidRPr="001E5809" w:rsidRDefault="0089056B" w:rsidP="009240FE">
      <w:pPr>
        <w:pStyle w:val="Style3"/>
        <w:widowControl/>
        <w:tabs>
          <w:tab w:val="left" w:pos="274"/>
        </w:tabs>
        <w:spacing w:line="360" w:lineRule="auto"/>
        <w:ind w:left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Каким образом готовится свежезамороженная плазма?</w:t>
      </w:r>
    </w:p>
    <w:p w:rsidR="009240FE" w:rsidRPr="009240FE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Свежезамороженная плазма (СЗП) — жидкая порция центрифугированной человеческой крови, отделенная и замороженная в течение 6 ч после забора. Она содержит неустойчивые и стабильные компоненты свертывающей, </w:t>
      </w:r>
      <w:proofErr w:type="spellStart"/>
      <w:r w:rsidRPr="001E5809">
        <w:rPr>
          <w:rStyle w:val="FontStyle14"/>
          <w:color w:val="000000"/>
          <w:sz w:val="28"/>
        </w:rPr>
        <w:t>фибринолитической</w:t>
      </w:r>
      <w:proofErr w:type="spellEnd"/>
      <w:r w:rsidRPr="001E5809">
        <w:rPr>
          <w:rStyle w:val="FontStyle14"/>
          <w:color w:val="000000"/>
          <w:sz w:val="28"/>
        </w:rPr>
        <w:t xml:space="preserve"> и комплементарной систем. При соответствующем хранении и обращении потеря неустойчивых факторов V и VIII составляет менее 30%. СЗП следует использовать в течение 24 ч после размораживания. Переливать можно только плазму, совместимую по системе АВО, используя стандартные 170 мкм фильтры.</w:t>
      </w:r>
    </w:p>
    <w:p w:rsidR="0089056B" w:rsidRPr="001E5809" w:rsidRDefault="009240FE" w:rsidP="00097F7B">
      <w:pPr>
        <w:pStyle w:val="Style2"/>
        <w:widowControl/>
        <w:spacing w:line="360" w:lineRule="auto"/>
        <w:ind w:firstLine="709"/>
        <w:jc w:val="center"/>
        <w:rPr>
          <w:rStyle w:val="FontStyle12"/>
          <w:color w:val="000000"/>
          <w:sz w:val="28"/>
        </w:rPr>
      </w:pPr>
      <w:r w:rsidRPr="009240FE">
        <w:rPr>
          <w:rStyle w:val="FontStyle14"/>
          <w:color w:val="000000"/>
          <w:sz w:val="28"/>
        </w:rPr>
        <w:br w:type="page"/>
      </w:r>
      <w:r w:rsidR="0089056B" w:rsidRPr="001E5809">
        <w:rPr>
          <w:rStyle w:val="FontStyle12"/>
          <w:color w:val="000000"/>
          <w:sz w:val="28"/>
        </w:rPr>
        <w:lastRenderedPageBreak/>
        <w:t>Каковы текущие рекомендации для трансфузии СЗП?</w:t>
      </w:r>
    </w:p>
    <w:p w:rsidR="009240FE" w:rsidRPr="009240FE" w:rsidRDefault="009240FE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Проблемная группа Американского общества анестезиологов (</w:t>
      </w:r>
      <w:r w:rsidRPr="001E5809">
        <w:rPr>
          <w:rStyle w:val="FontStyle14"/>
          <w:color w:val="000000"/>
          <w:sz w:val="28"/>
          <w:lang w:val="en-US"/>
        </w:rPr>
        <w:t>ASA</w:t>
      </w:r>
      <w:r w:rsidRPr="001E5809">
        <w:rPr>
          <w:rStyle w:val="FontStyle14"/>
          <w:color w:val="000000"/>
          <w:sz w:val="28"/>
        </w:rPr>
        <w:t>) рекомендует использовать СЗП в следующих обстоятельствах:</w:t>
      </w:r>
    </w:p>
    <w:p w:rsidR="0089056B" w:rsidRPr="001E5809" w:rsidRDefault="0089056B" w:rsidP="001E5809">
      <w:pPr>
        <w:pStyle w:val="Style10"/>
        <w:widowControl/>
        <w:numPr>
          <w:ilvl w:val="0"/>
          <w:numId w:val="25"/>
        </w:numPr>
        <w:tabs>
          <w:tab w:val="left" w:pos="493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Срочное устранение последствий терапии </w:t>
      </w:r>
      <w:proofErr w:type="spellStart"/>
      <w:r w:rsidRPr="001E5809">
        <w:rPr>
          <w:rStyle w:val="FontStyle14"/>
          <w:color w:val="000000"/>
          <w:sz w:val="28"/>
        </w:rPr>
        <w:t>варфарином</w:t>
      </w:r>
      <w:proofErr w:type="spellEnd"/>
      <w:r w:rsidRPr="001E5809">
        <w:rPr>
          <w:rStyle w:val="FontStyle14"/>
          <w:color w:val="000000"/>
          <w:sz w:val="28"/>
        </w:rPr>
        <w:t>.</w:t>
      </w:r>
    </w:p>
    <w:p w:rsidR="0089056B" w:rsidRPr="001E5809" w:rsidRDefault="0089056B" w:rsidP="001E5809">
      <w:pPr>
        <w:pStyle w:val="Style10"/>
        <w:widowControl/>
        <w:numPr>
          <w:ilvl w:val="0"/>
          <w:numId w:val="26"/>
        </w:numPr>
        <w:tabs>
          <w:tab w:val="left" w:pos="472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Коррекция выявленного дефицита антикоагулянтов, специфические концентраты которых недоступны.</w:t>
      </w:r>
    </w:p>
    <w:p w:rsidR="0089056B" w:rsidRPr="001E5809" w:rsidRDefault="0089056B" w:rsidP="001E5809">
      <w:pPr>
        <w:pStyle w:val="Style10"/>
        <w:widowControl/>
        <w:numPr>
          <w:ilvl w:val="0"/>
          <w:numId w:val="26"/>
        </w:numPr>
        <w:tabs>
          <w:tab w:val="left" w:pos="472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Остановка капиллярного кровотечения при повышении (более чем в 1,5 раза по сравнению с нормой) ПВ или ЧТВ.</w:t>
      </w:r>
    </w:p>
    <w:p w:rsidR="0089056B" w:rsidRPr="001E5809" w:rsidRDefault="0089056B" w:rsidP="001E5809">
      <w:pPr>
        <w:pStyle w:val="Style10"/>
        <w:widowControl/>
        <w:numPr>
          <w:ilvl w:val="0"/>
          <w:numId w:val="26"/>
        </w:numPr>
        <w:tabs>
          <w:tab w:val="left" w:pos="472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Остановка капиллярного кровотечения, </w:t>
      </w:r>
      <w:proofErr w:type="spellStart"/>
      <w:r w:rsidRPr="001E5809">
        <w:rPr>
          <w:rStyle w:val="FontStyle14"/>
          <w:color w:val="000000"/>
          <w:sz w:val="28"/>
        </w:rPr>
        <w:t>развившегося</w:t>
      </w:r>
      <w:proofErr w:type="spellEnd"/>
      <w:r w:rsidRPr="001E5809">
        <w:rPr>
          <w:rStyle w:val="FontStyle14"/>
          <w:color w:val="000000"/>
          <w:sz w:val="28"/>
        </w:rPr>
        <w:t xml:space="preserve"> в результате дефицита факторов свертывания у больных, которым перелито более одного ОЦК, а ПВ и ЧТВ не могут быть своевременно исследованы.</w:t>
      </w: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Переливаемая доза должна рассчитываться, исходя из необходимости создать в плазме хотя бы 30% концентрацию факторов свертывания (обычно около 10—15 мл/кг СЗП).</w:t>
      </w:r>
    </w:p>
    <w:p w:rsidR="00097F7B" w:rsidRPr="00AC5F23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097F7B">
      <w:pPr>
        <w:pStyle w:val="Style3"/>
        <w:widowControl/>
        <w:tabs>
          <w:tab w:val="left" w:pos="274"/>
        </w:tabs>
        <w:spacing w:line="360" w:lineRule="auto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 xml:space="preserve">Как готовится </w:t>
      </w:r>
      <w:proofErr w:type="spellStart"/>
      <w:r w:rsidRPr="001E5809">
        <w:rPr>
          <w:rStyle w:val="FontStyle12"/>
          <w:color w:val="000000"/>
          <w:sz w:val="28"/>
        </w:rPr>
        <w:t>тромбоцитный</w:t>
      </w:r>
      <w:proofErr w:type="spellEnd"/>
      <w:r w:rsidRPr="001E5809">
        <w:rPr>
          <w:rStyle w:val="FontStyle12"/>
          <w:color w:val="000000"/>
          <w:sz w:val="28"/>
        </w:rPr>
        <w:t xml:space="preserve"> концентрат?</w:t>
      </w:r>
    </w:p>
    <w:p w:rsidR="00097F7B" w:rsidRPr="00AC5F23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Для получения </w:t>
      </w:r>
      <w:proofErr w:type="spellStart"/>
      <w:r w:rsidRPr="001E5809">
        <w:rPr>
          <w:rStyle w:val="FontStyle14"/>
          <w:color w:val="000000"/>
          <w:sz w:val="28"/>
        </w:rPr>
        <w:t>тромбоцитного</w:t>
      </w:r>
      <w:proofErr w:type="spellEnd"/>
      <w:r w:rsidRPr="001E5809">
        <w:rPr>
          <w:rStyle w:val="FontStyle14"/>
          <w:color w:val="000000"/>
          <w:sz w:val="28"/>
        </w:rPr>
        <w:t xml:space="preserve"> концентрата (ТК) центрифугируют свежую цельную кровь; образовавшуюся плазму центрифугируют вновь, пока не останется 30—50 мл. При хранении в условиях комнатной температуры функциональные способности ТК сохраняются в течение 5 дней. ТК содержит 60—80% тромбоцитов, содержащихся в единице свежей цельной крови. От одного донора в результате </w:t>
      </w:r>
      <w:proofErr w:type="spellStart"/>
      <w:r w:rsidRPr="001E5809">
        <w:rPr>
          <w:rStyle w:val="FontStyle14"/>
          <w:color w:val="000000"/>
          <w:sz w:val="28"/>
        </w:rPr>
        <w:t>афереза</w:t>
      </w:r>
      <w:proofErr w:type="spellEnd"/>
      <w:r w:rsidRPr="001E5809">
        <w:rPr>
          <w:rStyle w:val="FontStyle14"/>
          <w:color w:val="000000"/>
          <w:sz w:val="28"/>
        </w:rPr>
        <w:t xml:space="preserve"> можно получить до 5—8 таких единиц ТК, которые применяются у больных с </w:t>
      </w:r>
      <w:proofErr w:type="spellStart"/>
      <w:r w:rsidRPr="001E5809">
        <w:rPr>
          <w:rStyle w:val="FontStyle14"/>
          <w:color w:val="000000"/>
          <w:sz w:val="28"/>
        </w:rPr>
        <w:t>тромбоцитарными</w:t>
      </w:r>
      <w:proofErr w:type="spellEnd"/>
      <w:r w:rsidRPr="001E5809">
        <w:rPr>
          <w:rStyle w:val="FontStyle14"/>
          <w:color w:val="000000"/>
          <w:sz w:val="28"/>
        </w:rPr>
        <w:t xml:space="preserve"> антителами или для исключения риска образования человеческих лейкоцитарных антител (</w:t>
      </w:r>
      <w:r w:rsidRPr="001E5809">
        <w:rPr>
          <w:rStyle w:val="FontStyle14"/>
          <w:color w:val="000000"/>
          <w:sz w:val="28"/>
          <w:lang w:val="en-US"/>
        </w:rPr>
        <w:t>HLA</w:t>
      </w:r>
      <w:r w:rsidRPr="001E5809">
        <w:rPr>
          <w:rStyle w:val="FontStyle14"/>
          <w:color w:val="000000"/>
          <w:sz w:val="28"/>
        </w:rPr>
        <w:t xml:space="preserve">). Чтобы достичь повышения количества тромбоцитов, трансфузия назначается из расчета: 1 ЕД ТК на каждый </w:t>
      </w:r>
      <w:smartTag w:uri="urn:schemas-microsoft-com:office:smarttags" w:element="metricconverter">
        <w:smartTagPr>
          <w:attr w:name="ProductID" w:val="10 кг"/>
        </w:smartTagPr>
        <w:r w:rsidRPr="001E5809">
          <w:rPr>
            <w:rStyle w:val="FontStyle14"/>
            <w:color w:val="000000"/>
            <w:sz w:val="28"/>
          </w:rPr>
          <w:t>10 кг</w:t>
        </w:r>
      </w:smartTag>
      <w:r w:rsidRPr="001E5809">
        <w:rPr>
          <w:rStyle w:val="FontStyle14"/>
          <w:color w:val="000000"/>
          <w:sz w:val="28"/>
        </w:rPr>
        <w:t xml:space="preserve"> массы тела. Вливание 1 ЕД ТК должно повышать количество тромбоцитов на 5000—8000/мм</w:t>
      </w:r>
      <w:r w:rsidRPr="001E5809">
        <w:rPr>
          <w:rStyle w:val="FontStyle14"/>
          <w:color w:val="000000"/>
          <w:sz w:val="28"/>
          <w:vertAlign w:val="superscript"/>
        </w:rPr>
        <w:t>3</w:t>
      </w:r>
      <w:r w:rsidRPr="001E5809">
        <w:rPr>
          <w:rStyle w:val="FontStyle14"/>
          <w:color w:val="000000"/>
          <w:sz w:val="28"/>
        </w:rPr>
        <w:t xml:space="preserve">. Использование АВО-несовместимых тромбоцитов — </w:t>
      </w:r>
      <w:r w:rsidRPr="001E5809">
        <w:rPr>
          <w:rStyle w:val="FontStyle14"/>
          <w:color w:val="000000"/>
          <w:sz w:val="28"/>
        </w:rPr>
        <w:lastRenderedPageBreak/>
        <w:t>допустимая практика. Рекомендуется использование стандартных 170 мкм фильтров.</w:t>
      </w:r>
    </w:p>
    <w:p w:rsidR="00097F7B" w:rsidRPr="00AC5F23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097F7B">
      <w:pPr>
        <w:pStyle w:val="Style3"/>
        <w:widowControl/>
        <w:tabs>
          <w:tab w:val="left" w:pos="274"/>
        </w:tabs>
        <w:spacing w:line="360" w:lineRule="auto"/>
        <w:ind w:left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Каковы показания для применения тромбоцитов?</w:t>
      </w:r>
    </w:p>
    <w:p w:rsidR="00097F7B" w:rsidRPr="00097F7B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Рекомендации</w:t>
      </w:r>
      <w:r w:rsidRPr="001E5809">
        <w:rPr>
          <w:rStyle w:val="FontStyle14"/>
          <w:color w:val="000000"/>
          <w:sz w:val="28"/>
          <w:lang w:val="en-US"/>
        </w:rPr>
        <w:t xml:space="preserve"> ASA</w:t>
      </w:r>
      <w:r w:rsidRPr="001E5809">
        <w:rPr>
          <w:rStyle w:val="FontStyle14"/>
          <w:color w:val="000000"/>
          <w:sz w:val="28"/>
        </w:rPr>
        <w:t xml:space="preserve"> следующие:</w:t>
      </w:r>
    </w:p>
    <w:p w:rsidR="0089056B" w:rsidRPr="001E5809" w:rsidRDefault="0089056B" w:rsidP="001E5809">
      <w:pPr>
        <w:pStyle w:val="Style1"/>
        <w:widowControl/>
        <w:numPr>
          <w:ilvl w:val="0"/>
          <w:numId w:val="21"/>
        </w:numPr>
        <w:tabs>
          <w:tab w:val="left" w:pos="44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Профилактическая трансфузия тромбоцитов неэффективна и редко показана, если тромбоцитопения обусловлена повышенной деструкцией тромбоцитов.</w:t>
      </w:r>
    </w:p>
    <w:p w:rsidR="0089056B" w:rsidRPr="00097F7B" w:rsidRDefault="0089056B" w:rsidP="001E5809">
      <w:pPr>
        <w:pStyle w:val="Style1"/>
        <w:widowControl/>
        <w:numPr>
          <w:ilvl w:val="0"/>
          <w:numId w:val="21"/>
        </w:numPr>
        <w:tabs>
          <w:tab w:val="left" w:pos="44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Хирургическим больным с тромбоцитопенией, обусловленной сниженной продукцией тромбоцитов, больным хирургического и акушерского профиля с капиллярным </w:t>
      </w:r>
      <w:proofErr w:type="spellStart"/>
      <w:r w:rsidRPr="001E5809">
        <w:rPr>
          <w:rStyle w:val="FontStyle14"/>
          <w:color w:val="000000"/>
          <w:sz w:val="28"/>
        </w:rPr>
        <w:t>крово</w:t>
      </w:r>
      <w:proofErr w:type="spellEnd"/>
      <w:r w:rsidRPr="001E5809">
        <w:rPr>
          <w:rStyle w:val="FontStyle14"/>
          <w:color w:val="000000"/>
          <w:sz w:val="28"/>
        </w:rPr>
        <w:t xml:space="preserve"> течением трансфузия тромбоцитов редко показана при количестве более 100* 10</w:t>
      </w:r>
      <w:r w:rsidRPr="001E5809">
        <w:rPr>
          <w:rStyle w:val="FontStyle14"/>
          <w:color w:val="000000"/>
          <w:sz w:val="28"/>
          <w:vertAlign w:val="superscript"/>
        </w:rPr>
        <w:t>9</w:t>
      </w:r>
      <w:r w:rsidRPr="001E5809">
        <w:rPr>
          <w:rStyle w:val="FontStyle14"/>
          <w:color w:val="000000"/>
          <w:sz w:val="28"/>
        </w:rPr>
        <w:t>/л и обычно показана при уровне менее 50 • 10</w:t>
      </w:r>
      <w:r w:rsidRPr="001E5809">
        <w:rPr>
          <w:rStyle w:val="FontStyle14"/>
          <w:color w:val="000000"/>
          <w:sz w:val="28"/>
          <w:vertAlign w:val="superscript"/>
        </w:rPr>
        <w:t>9</w:t>
      </w:r>
      <w:r w:rsidRPr="001E5809">
        <w:rPr>
          <w:rStyle w:val="FontStyle14"/>
          <w:color w:val="000000"/>
          <w:sz w:val="28"/>
        </w:rPr>
        <w:t>/л. При промежуточных концентрациях тромбоцитов следует принимать решение, исходя из риска кровотечения.</w:t>
      </w:r>
    </w:p>
    <w:p w:rsidR="00097F7B" w:rsidRPr="001E5809" w:rsidRDefault="00097F7B" w:rsidP="00097F7B">
      <w:pPr>
        <w:pStyle w:val="Style1"/>
        <w:widowControl/>
        <w:tabs>
          <w:tab w:val="left" w:pos="446"/>
        </w:tabs>
        <w:spacing w:line="360" w:lineRule="auto"/>
        <w:ind w:left="709" w:firstLine="0"/>
        <w:rPr>
          <w:rStyle w:val="FontStyle14"/>
          <w:color w:val="000000"/>
          <w:sz w:val="28"/>
        </w:rPr>
      </w:pPr>
    </w:p>
    <w:p w:rsidR="0089056B" w:rsidRPr="001E5809" w:rsidRDefault="0089056B" w:rsidP="003262B6">
      <w:pPr>
        <w:pStyle w:val="Style3"/>
        <w:widowControl/>
        <w:tabs>
          <w:tab w:val="left" w:pos="270"/>
        </w:tabs>
        <w:spacing w:line="360" w:lineRule="auto"/>
        <w:ind w:left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 xml:space="preserve">Как готовится </w:t>
      </w:r>
      <w:proofErr w:type="spellStart"/>
      <w:r w:rsidRPr="001E5809">
        <w:rPr>
          <w:rStyle w:val="FontStyle12"/>
          <w:color w:val="000000"/>
          <w:sz w:val="28"/>
        </w:rPr>
        <w:t>криопреципитат</w:t>
      </w:r>
      <w:proofErr w:type="spellEnd"/>
      <w:r w:rsidRPr="001E5809">
        <w:rPr>
          <w:rStyle w:val="FontStyle12"/>
          <w:color w:val="000000"/>
          <w:sz w:val="28"/>
        </w:rPr>
        <w:t>?</w:t>
      </w:r>
    </w:p>
    <w:p w:rsidR="00097F7B" w:rsidRPr="00AC5F23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proofErr w:type="spellStart"/>
      <w:r w:rsidRPr="001E5809">
        <w:rPr>
          <w:rStyle w:val="FontStyle14"/>
          <w:color w:val="000000"/>
          <w:sz w:val="28"/>
        </w:rPr>
        <w:t>Криопреципитат</w:t>
      </w:r>
      <w:proofErr w:type="spellEnd"/>
      <w:r w:rsidRPr="001E5809">
        <w:rPr>
          <w:rStyle w:val="FontStyle14"/>
          <w:color w:val="000000"/>
          <w:sz w:val="28"/>
        </w:rPr>
        <w:t xml:space="preserve"> получают из СЗП, размораживаемой под контролем. Он содержит большое количество фактора VIII, фактора фон </w:t>
      </w:r>
      <w:proofErr w:type="spellStart"/>
      <w:r w:rsidRPr="001E5809">
        <w:rPr>
          <w:rStyle w:val="FontStyle14"/>
          <w:color w:val="000000"/>
          <w:sz w:val="28"/>
        </w:rPr>
        <w:t>Виллебранда</w:t>
      </w:r>
      <w:proofErr w:type="spellEnd"/>
      <w:r w:rsidRPr="001E5809">
        <w:rPr>
          <w:rStyle w:val="FontStyle14"/>
          <w:color w:val="000000"/>
          <w:sz w:val="28"/>
        </w:rPr>
        <w:t xml:space="preserve">, фибриногена, </w:t>
      </w:r>
      <w:proofErr w:type="spellStart"/>
      <w:r w:rsidRPr="001E5809">
        <w:rPr>
          <w:rStyle w:val="FontStyle14"/>
          <w:color w:val="000000"/>
          <w:sz w:val="28"/>
        </w:rPr>
        <w:t>фибронектина</w:t>
      </w:r>
      <w:proofErr w:type="spellEnd"/>
      <w:r w:rsidRPr="001E5809">
        <w:rPr>
          <w:rStyle w:val="FontStyle14"/>
          <w:color w:val="000000"/>
          <w:sz w:val="28"/>
        </w:rPr>
        <w:t xml:space="preserve"> и фактора XIII. </w:t>
      </w:r>
      <w:proofErr w:type="spellStart"/>
      <w:r w:rsidRPr="001E5809">
        <w:rPr>
          <w:rStyle w:val="FontStyle14"/>
          <w:color w:val="000000"/>
          <w:sz w:val="28"/>
        </w:rPr>
        <w:t>Криопреципитат</w:t>
      </w:r>
      <w:proofErr w:type="spellEnd"/>
      <w:r w:rsidRPr="001E5809">
        <w:rPr>
          <w:rStyle w:val="FontStyle14"/>
          <w:color w:val="000000"/>
          <w:sz w:val="28"/>
        </w:rPr>
        <w:t xml:space="preserve"> может подвергаться тепловой обработке с целью </w:t>
      </w:r>
      <w:proofErr w:type="spellStart"/>
      <w:r w:rsidRPr="001E5809">
        <w:rPr>
          <w:rStyle w:val="FontStyle14"/>
          <w:color w:val="000000"/>
          <w:sz w:val="28"/>
        </w:rPr>
        <w:t>инактивации</w:t>
      </w:r>
      <w:proofErr w:type="spellEnd"/>
      <w:r w:rsidRPr="001E5809">
        <w:rPr>
          <w:rStyle w:val="FontStyle14"/>
          <w:color w:val="000000"/>
          <w:sz w:val="28"/>
        </w:rPr>
        <w:t xml:space="preserve"> вируса иммунодефицита человека (ВИЧ). Одна донорская единица содержит примерно 100 антигемофильных единиц и 250 мг фибриногена. Единицы обычно объединяются и должны переливаться с использованием 170 мкм фильтра.</w:t>
      </w:r>
    </w:p>
    <w:p w:rsidR="00097F7B" w:rsidRPr="00AC5F23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AC5F23" w:rsidRDefault="0089056B" w:rsidP="00097F7B">
      <w:pPr>
        <w:pStyle w:val="Style3"/>
        <w:widowControl/>
        <w:tabs>
          <w:tab w:val="left" w:pos="270"/>
        </w:tabs>
        <w:spacing w:line="360" w:lineRule="auto"/>
        <w:ind w:left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Перечислите показания дл</w:t>
      </w:r>
      <w:r w:rsidR="00097F7B">
        <w:rPr>
          <w:rStyle w:val="FontStyle12"/>
          <w:color w:val="000000"/>
          <w:sz w:val="28"/>
        </w:rPr>
        <w:t xml:space="preserve">я использования </w:t>
      </w:r>
      <w:proofErr w:type="spellStart"/>
      <w:r w:rsidR="00097F7B">
        <w:rPr>
          <w:rStyle w:val="FontStyle12"/>
          <w:color w:val="000000"/>
          <w:sz w:val="28"/>
        </w:rPr>
        <w:t>криопреципитата</w:t>
      </w:r>
      <w:proofErr w:type="spellEnd"/>
    </w:p>
    <w:p w:rsidR="00097F7B" w:rsidRPr="00AC5F23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proofErr w:type="spellStart"/>
      <w:r w:rsidRPr="001E5809">
        <w:rPr>
          <w:rStyle w:val="FontStyle14"/>
          <w:color w:val="000000"/>
          <w:sz w:val="28"/>
        </w:rPr>
        <w:t>Криопреципитат</w:t>
      </w:r>
      <w:proofErr w:type="spellEnd"/>
      <w:r w:rsidRPr="001E5809">
        <w:rPr>
          <w:rStyle w:val="FontStyle14"/>
          <w:color w:val="000000"/>
          <w:sz w:val="28"/>
        </w:rPr>
        <w:t xml:space="preserve"> должен применяться при следующих состояниях: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lastRenderedPageBreak/>
        <w:t xml:space="preserve">У пациентов с болезнью фон </w:t>
      </w:r>
      <w:proofErr w:type="spellStart"/>
      <w:r w:rsidRPr="001E5809">
        <w:rPr>
          <w:rStyle w:val="FontStyle14"/>
          <w:color w:val="000000"/>
          <w:sz w:val="28"/>
        </w:rPr>
        <w:t>Виллебранда</w:t>
      </w:r>
      <w:proofErr w:type="spellEnd"/>
      <w:r w:rsidRPr="001E5809">
        <w:rPr>
          <w:rStyle w:val="FontStyle14"/>
          <w:color w:val="000000"/>
          <w:sz w:val="28"/>
        </w:rPr>
        <w:t xml:space="preserve"> во время кровотечения.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С целью профилактики при отсутствии кровотечения у больных с врожденным дефицитом фибриногена или болезнью фон </w:t>
      </w:r>
      <w:proofErr w:type="spellStart"/>
      <w:r w:rsidRPr="001E5809">
        <w:rPr>
          <w:rStyle w:val="FontStyle14"/>
          <w:color w:val="000000"/>
          <w:sz w:val="28"/>
        </w:rPr>
        <w:t>Виллебранда</w:t>
      </w:r>
      <w:proofErr w:type="spellEnd"/>
      <w:r w:rsidRPr="001E5809">
        <w:rPr>
          <w:rStyle w:val="FontStyle14"/>
          <w:color w:val="000000"/>
          <w:sz w:val="28"/>
        </w:rPr>
        <w:t xml:space="preserve"> (нечувствительных </w:t>
      </w:r>
      <w:proofErr w:type="spellStart"/>
      <w:r w:rsidRPr="001E5809">
        <w:rPr>
          <w:rStyle w:val="FontStyle14"/>
          <w:color w:val="000000"/>
          <w:sz w:val="28"/>
        </w:rPr>
        <w:t>кдесмопрессину</w:t>
      </w:r>
      <w:proofErr w:type="spellEnd"/>
      <w:r w:rsidRPr="001E5809">
        <w:rPr>
          <w:rStyle w:val="FontStyle14"/>
          <w:color w:val="000000"/>
          <w:sz w:val="28"/>
        </w:rPr>
        <w:t>).</w:t>
      </w:r>
    </w:p>
    <w:p w:rsidR="0089056B" w:rsidRPr="00097F7B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У пациентов с массивной гемотрансфузией при концентрации фибриногена менее 0,8-1,0 г/л.</w:t>
      </w:r>
    </w:p>
    <w:p w:rsidR="00097F7B" w:rsidRPr="001E5809" w:rsidRDefault="00097F7B" w:rsidP="00097F7B">
      <w:pPr>
        <w:pStyle w:val="Style1"/>
        <w:widowControl/>
        <w:tabs>
          <w:tab w:val="left" w:pos="436"/>
        </w:tabs>
        <w:spacing w:line="360" w:lineRule="auto"/>
        <w:ind w:left="709" w:firstLine="0"/>
        <w:rPr>
          <w:rStyle w:val="FontStyle14"/>
          <w:color w:val="000000"/>
          <w:sz w:val="28"/>
        </w:rPr>
      </w:pPr>
    </w:p>
    <w:p w:rsidR="0089056B" w:rsidRPr="001E5809" w:rsidRDefault="0089056B" w:rsidP="00097F7B">
      <w:pPr>
        <w:pStyle w:val="Style3"/>
        <w:widowControl/>
        <w:tabs>
          <w:tab w:val="left" w:pos="270"/>
        </w:tabs>
        <w:spacing w:line="360" w:lineRule="auto"/>
        <w:ind w:left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Что такое РВС?</w:t>
      </w:r>
    </w:p>
    <w:p w:rsidR="00097F7B" w:rsidRPr="00AC5F23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Рассеянное внутрисосудистое свертывание (РВС) является не заболеванием в полном смысле, а, скорее, проявлением заболевания, связанного с различными клиническими состояниями.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Акушерская патология (эмболия амниотическими водами, отслойка плаценты, синдром задержки плода, эклампсия, спровоцированный аборт).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Внутрисосудистый гемолиз (гемолитические </w:t>
      </w:r>
      <w:proofErr w:type="spellStart"/>
      <w:r w:rsidRPr="001E5809">
        <w:rPr>
          <w:rStyle w:val="FontStyle14"/>
          <w:color w:val="000000"/>
          <w:sz w:val="28"/>
        </w:rPr>
        <w:t>трансфузионные</w:t>
      </w:r>
      <w:proofErr w:type="spellEnd"/>
      <w:r w:rsidRPr="001E5809">
        <w:rPr>
          <w:rStyle w:val="FontStyle14"/>
          <w:color w:val="000000"/>
          <w:sz w:val="28"/>
        </w:rPr>
        <w:t xml:space="preserve"> синдромы, минимальный гемолиз, массивная гемотрансфузия).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Септицемия (при грамотрицательной — эндотоксин, при грамположительной — </w:t>
      </w:r>
      <w:proofErr w:type="spellStart"/>
      <w:r w:rsidRPr="001E5809">
        <w:rPr>
          <w:rStyle w:val="FontStyle14"/>
          <w:color w:val="000000"/>
          <w:sz w:val="28"/>
        </w:rPr>
        <w:t>мукополи</w:t>
      </w:r>
      <w:proofErr w:type="spellEnd"/>
      <w:r w:rsidRPr="001E5809">
        <w:rPr>
          <w:rStyle w:val="FontStyle14"/>
          <w:color w:val="000000"/>
          <w:sz w:val="28"/>
        </w:rPr>
        <w:t>-сахариды).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proofErr w:type="spellStart"/>
      <w:r w:rsidRPr="001E5809">
        <w:rPr>
          <w:rStyle w:val="FontStyle14"/>
          <w:color w:val="000000"/>
          <w:sz w:val="28"/>
        </w:rPr>
        <w:t>Вирусемия</w:t>
      </w:r>
      <w:proofErr w:type="spellEnd"/>
      <w:r w:rsidRPr="001E5809">
        <w:rPr>
          <w:rStyle w:val="FontStyle14"/>
          <w:color w:val="000000"/>
          <w:sz w:val="28"/>
        </w:rPr>
        <w:t xml:space="preserve"> (</w:t>
      </w:r>
      <w:proofErr w:type="spellStart"/>
      <w:r w:rsidRPr="001E5809">
        <w:rPr>
          <w:rStyle w:val="FontStyle14"/>
          <w:color w:val="000000"/>
          <w:sz w:val="28"/>
        </w:rPr>
        <w:t>цитомегаловирус</w:t>
      </w:r>
      <w:proofErr w:type="spellEnd"/>
      <w:r w:rsidRPr="001E5809">
        <w:rPr>
          <w:rStyle w:val="FontStyle14"/>
          <w:color w:val="000000"/>
          <w:sz w:val="28"/>
        </w:rPr>
        <w:t xml:space="preserve">, гепатит, </w:t>
      </w:r>
      <w:proofErr w:type="spellStart"/>
      <w:r w:rsidRPr="001E5809">
        <w:rPr>
          <w:rStyle w:val="FontStyle14"/>
          <w:color w:val="000000"/>
          <w:sz w:val="28"/>
        </w:rPr>
        <w:t>варицелла</w:t>
      </w:r>
      <w:proofErr w:type="spellEnd"/>
      <w:r w:rsidRPr="001E5809">
        <w:rPr>
          <w:rStyle w:val="FontStyle14"/>
          <w:color w:val="000000"/>
          <w:sz w:val="28"/>
        </w:rPr>
        <w:t>, ВИЧ).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Диссеминированное метастазирование.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Лейкемия.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Ожоги.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Раздавливание или некроз тканей.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>Заболевания печени (механическая желтуха, острая печеночная недостаточность).</w:t>
      </w:r>
    </w:p>
    <w:p w:rsidR="0089056B" w:rsidRPr="001E5809" w:rsidRDefault="0089056B" w:rsidP="001E5809">
      <w:pPr>
        <w:pStyle w:val="Style1"/>
        <w:widowControl/>
        <w:numPr>
          <w:ilvl w:val="0"/>
          <w:numId w:val="8"/>
        </w:numPr>
        <w:tabs>
          <w:tab w:val="left" w:pos="436"/>
        </w:tabs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Искусственные имплантаты (шунт </w:t>
      </w:r>
      <w:proofErr w:type="spellStart"/>
      <w:r w:rsidRPr="001E5809">
        <w:rPr>
          <w:rStyle w:val="FontStyle14"/>
          <w:color w:val="000000"/>
          <w:sz w:val="28"/>
          <w:lang w:val="en-US"/>
        </w:rPr>
        <w:t>LeVeen</w:t>
      </w:r>
      <w:proofErr w:type="spellEnd"/>
      <w:r w:rsidRPr="001E5809">
        <w:rPr>
          <w:rStyle w:val="FontStyle14"/>
          <w:color w:val="000000"/>
          <w:sz w:val="28"/>
        </w:rPr>
        <w:t>, аортальный баллон).</w:t>
      </w: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РВС обычно проявляется в клинических обстоятельствах, при которых циркулирующие фосфолипиды активируют и внешний, и внутренний механизмы коагуляции, что ведет к образованию тромба в то время, когда нарушены обычные механизмы, предотвращающие избыточное </w:t>
      </w:r>
      <w:proofErr w:type="spellStart"/>
      <w:r w:rsidRPr="001E5809">
        <w:rPr>
          <w:rStyle w:val="FontStyle14"/>
          <w:color w:val="000000"/>
          <w:sz w:val="28"/>
        </w:rPr>
        <w:lastRenderedPageBreak/>
        <w:t>тромбообразование</w:t>
      </w:r>
      <w:proofErr w:type="spellEnd"/>
      <w:r w:rsidRPr="001E5809">
        <w:rPr>
          <w:rStyle w:val="FontStyle14"/>
          <w:color w:val="000000"/>
          <w:sz w:val="28"/>
        </w:rPr>
        <w:t xml:space="preserve">. После системного образования внутрисосудистых фибриновых тромбов, потребления факторов V и VIII и использования тромбоцитов результирующий уровень циркулирующих факторов свертывания и тромбоцитов отражает баланс между истощением и продукцией. Активируется </w:t>
      </w:r>
      <w:proofErr w:type="spellStart"/>
      <w:r w:rsidRPr="001E5809">
        <w:rPr>
          <w:rStyle w:val="FontStyle14"/>
          <w:color w:val="000000"/>
          <w:sz w:val="28"/>
        </w:rPr>
        <w:t>фибринолитическая</w:t>
      </w:r>
      <w:proofErr w:type="spellEnd"/>
      <w:r w:rsidRPr="001E5809">
        <w:rPr>
          <w:rStyle w:val="FontStyle14"/>
          <w:color w:val="000000"/>
          <w:sz w:val="28"/>
        </w:rPr>
        <w:t xml:space="preserve"> система, и плазмин начинает расщеплять фибриноген и фибрин на продукты деградации фибриногена и фибрина (ПДФ). Распознать и понять синдром трудно из-за наличия острой и хронической форм и широкого спектра клинических проявлений от системного тромбоза до диффузного кровотечения.</w:t>
      </w:r>
    </w:p>
    <w:p w:rsidR="00097F7B" w:rsidRPr="00AC5F23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097F7B">
      <w:pPr>
        <w:pStyle w:val="Style3"/>
        <w:widowControl/>
        <w:tabs>
          <w:tab w:val="left" w:pos="270"/>
        </w:tabs>
        <w:spacing w:line="360" w:lineRule="auto"/>
        <w:ind w:left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 xml:space="preserve">Какие тесты используются </w:t>
      </w:r>
      <w:r w:rsidRPr="001E5809">
        <w:rPr>
          <w:rStyle w:val="FontStyle14"/>
          <w:color w:val="000000"/>
          <w:sz w:val="28"/>
        </w:rPr>
        <w:t xml:space="preserve">для </w:t>
      </w:r>
      <w:r w:rsidRPr="001E5809">
        <w:rPr>
          <w:rStyle w:val="FontStyle12"/>
          <w:color w:val="000000"/>
          <w:sz w:val="28"/>
        </w:rPr>
        <w:t>диагностики РВС?</w:t>
      </w:r>
    </w:p>
    <w:p w:rsidR="00097F7B" w:rsidRPr="00097F7B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AC5F23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Не существует единственного патогномоничного теста для диагностики синдрома. При остром РВС ПВ увеличивается </w:t>
      </w:r>
      <w:r w:rsidRPr="001E5809">
        <w:rPr>
          <w:rStyle w:val="FontStyle12"/>
          <w:color w:val="000000"/>
          <w:sz w:val="28"/>
        </w:rPr>
        <w:t xml:space="preserve">у </w:t>
      </w:r>
      <w:r w:rsidRPr="001E5809">
        <w:rPr>
          <w:rStyle w:val="FontStyle14"/>
          <w:color w:val="000000"/>
          <w:sz w:val="28"/>
        </w:rPr>
        <w:t xml:space="preserve">75% больных, в то время как ЧТВ пролонгируется у 50-60%. Количество тромбоцитов обычно значительно снижается. Распространенное проявление — </w:t>
      </w:r>
      <w:proofErr w:type="spellStart"/>
      <w:r w:rsidRPr="001E5809">
        <w:rPr>
          <w:rStyle w:val="FontStyle14"/>
          <w:color w:val="000000"/>
          <w:sz w:val="28"/>
        </w:rPr>
        <w:t>гипофибриногенемия</w:t>
      </w:r>
      <w:proofErr w:type="spellEnd"/>
      <w:r w:rsidRPr="001E5809">
        <w:rPr>
          <w:rStyle w:val="FontStyle14"/>
          <w:color w:val="000000"/>
          <w:sz w:val="28"/>
        </w:rPr>
        <w:t xml:space="preserve">. </w:t>
      </w:r>
      <w:r w:rsidRPr="001E5809">
        <w:rPr>
          <w:rStyle w:val="FontStyle14"/>
          <w:color w:val="000000"/>
          <w:sz w:val="28"/>
          <w:lang w:val="en-US"/>
        </w:rPr>
        <w:t>D</w:t>
      </w:r>
      <w:r w:rsidRPr="001E5809">
        <w:rPr>
          <w:rStyle w:val="FontStyle14"/>
          <w:color w:val="000000"/>
          <w:sz w:val="28"/>
        </w:rPr>
        <w:t>-</w:t>
      </w:r>
      <w:proofErr w:type="spellStart"/>
      <w:r w:rsidRPr="001E5809">
        <w:rPr>
          <w:rStyle w:val="FontStyle14"/>
          <w:color w:val="000000"/>
          <w:sz w:val="28"/>
        </w:rPr>
        <w:t>димерный</w:t>
      </w:r>
      <w:proofErr w:type="spellEnd"/>
      <w:r w:rsidRPr="001E5809">
        <w:rPr>
          <w:rStyle w:val="FontStyle14"/>
          <w:color w:val="000000"/>
          <w:sz w:val="28"/>
        </w:rPr>
        <w:t xml:space="preserve"> тест — более новая диагностическая система. </w:t>
      </w:r>
      <w:r w:rsidRPr="001E5809">
        <w:rPr>
          <w:rStyle w:val="FontStyle14"/>
          <w:color w:val="000000"/>
          <w:sz w:val="28"/>
          <w:lang w:val="en-US"/>
        </w:rPr>
        <w:t>D</w:t>
      </w:r>
      <w:r w:rsidRPr="001E5809">
        <w:rPr>
          <w:rStyle w:val="FontStyle14"/>
          <w:color w:val="000000"/>
          <w:sz w:val="28"/>
        </w:rPr>
        <w:t>-</w:t>
      </w:r>
      <w:proofErr w:type="spellStart"/>
      <w:r w:rsidRPr="001E5809">
        <w:rPr>
          <w:rStyle w:val="FontStyle14"/>
          <w:color w:val="000000"/>
          <w:sz w:val="28"/>
        </w:rPr>
        <w:t>димер</w:t>
      </w:r>
      <w:proofErr w:type="spellEnd"/>
      <w:r w:rsidRPr="001E5809">
        <w:rPr>
          <w:rStyle w:val="FontStyle14"/>
          <w:color w:val="000000"/>
          <w:sz w:val="28"/>
        </w:rPr>
        <w:t xml:space="preserve"> является </w:t>
      </w:r>
      <w:proofErr w:type="spellStart"/>
      <w:r w:rsidRPr="001E5809">
        <w:rPr>
          <w:rStyle w:val="FontStyle14"/>
          <w:color w:val="000000"/>
          <w:sz w:val="28"/>
        </w:rPr>
        <w:t>неоантигеном</w:t>
      </w:r>
      <w:proofErr w:type="spellEnd"/>
      <w:r w:rsidRPr="001E5809">
        <w:rPr>
          <w:rStyle w:val="FontStyle14"/>
          <w:color w:val="000000"/>
          <w:sz w:val="28"/>
        </w:rPr>
        <w:t>, образующимся под действием тромбина во время превращения конвертируемого фибриногена в связанный фибрин. Тест специфичен для продуктов деградации фибрина, образующихся в результате расщепления плазмином связанного фибрина. У 85—100% больных уровень ПДФ повышен. Повышенный уровень не является основанием для диагностирования РВС, но свидетельствует о наличии плазмина и процесса расщепления плазмином фибриногена или фибрина.</w:t>
      </w:r>
    </w:p>
    <w:p w:rsidR="00097F7B" w:rsidRPr="00AC5F23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89056B" w:rsidRPr="001E5809" w:rsidRDefault="0089056B" w:rsidP="00097F7B">
      <w:pPr>
        <w:pStyle w:val="Style9"/>
        <w:widowControl/>
        <w:spacing w:line="360" w:lineRule="auto"/>
        <w:ind w:firstLine="709"/>
        <w:jc w:val="center"/>
        <w:rPr>
          <w:rStyle w:val="FontStyle12"/>
          <w:color w:val="000000"/>
          <w:sz w:val="28"/>
        </w:rPr>
      </w:pPr>
      <w:r w:rsidRPr="001E5809">
        <w:rPr>
          <w:rStyle w:val="FontStyle12"/>
          <w:color w:val="000000"/>
          <w:sz w:val="28"/>
        </w:rPr>
        <w:t>Как лечить РВС?</w:t>
      </w:r>
    </w:p>
    <w:p w:rsidR="00097F7B" w:rsidRPr="00AC5F23" w:rsidRDefault="00097F7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</w:p>
    <w:p w:rsidR="001E5809" w:rsidRPr="001E5809" w:rsidRDefault="0089056B" w:rsidP="001E5809">
      <w:pPr>
        <w:pStyle w:val="Style2"/>
        <w:widowControl/>
        <w:spacing w:line="360" w:lineRule="auto"/>
        <w:ind w:firstLine="709"/>
        <w:rPr>
          <w:rStyle w:val="FontStyle14"/>
          <w:color w:val="000000"/>
          <w:sz w:val="28"/>
        </w:rPr>
      </w:pPr>
      <w:r w:rsidRPr="001E5809">
        <w:rPr>
          <w:rStyle w:val="FontStyle14"/>
          <w:color w:val="000000"/>
          <w:sz w:val="28"/>
        </w:rPr>
        <w:t xml:space="preserve">Подходы к лечению РВС-синдрома неоднозначны и спорны. Начальный процесс должен быть идентифицирован и соответственно пролечен. Если кровотечение продолжается, гепарин используется для </w:t>
      </w:r>
      <w:r w:rsidRPr="001E5809">
        <w:rPr>
          <w:rStyle w:val="FontStyle14"/>
          <w:color w:val="000000"/>
          <w:sz w:val="28"/>
        </w:rPr>
        <w:lastRenderedPageBreak/>
        <w:t xml:space="preserve">остановки процесса потребления факторов до момента назначения специфических препаратов. Если эти меры не принимаются, специфические компоненты крови могут истощиться и их следует возмещать после соответствующей идентификации. Если кровотечение продолжается, следует назначить </w:t>
      </w:r>
      <w:proofErr w:type="spellStart"/>
      <w:r w:rsidRPr="001E5809">
        <w:rPr>
          <w:rStyle w:val="FontStyle14"/>
          <w:color w:val="000000"/>
          <w:sz w:val="28"/>
        </w:rPr>
        <w:t>антифибринолитическую</w:t>
      </w:r>
      <w:proofErr w:type="spellEnd"/>
      <w:r w:rsidRPr="001E5809">
        <w:rPr>
          <w:rStyle w:val="FontStyle14"/>
          <w:color w:val="000000"/>
          <w:sz w:val="28"/>
        </w:rPr>
        <w:t xml:space="preserve"> терапию с эпсилон-аминокапроновой кислотой (ЭАКК), но только в случае остановки процесса внутрисосудистого свертывания и продолжения остаточного </w:t>
      </w:r>
      <w:proofErr w:type="spellStart"/>
      <w:r w:rsidRPr="001E5809">
        <w:rPr>
          <w:rStyle w:val="FontStyle14"/>
          <w:color w:val="000000"/>
          <w:sz w:val="28"/>
        </w:rPr>
        <w:t>фибринолиза</w:t>
      </w:r>
      <w:proofErr w:type="spellEnd"/>
      <w:r w:rsidRPr="001E5809">
        <w:rPr>
          <w:rStyle w:val="FontStyle14"/>
          <w:color w:val="000000"/>
          <w:sz w:val="28"/>
        </w:rPr>
        <w:t>.</w:t>
      </w:r>
    </w:p>
    <w:sectPr w:rsidR="001E5809" w:rsidRPr="001E5809" w:rsidSect="00577562">
      <w:pgSz w:w="11905" w:h="16837" w:code="9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40" w:rsidRDefault="00E51740">
      <w:r>
        <w:separator/>
      </w:r>
    </w:p>
  </w:endnote>
  <w:endnote w:type="continuationSeparator" w:id="0">
    <w:p w:rsidR="00E51740" w:rsidRDefault="00E5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40" w:rsidRDefault="00E51740">
      <w:r>
        <w:separator/>
      </w:r>
    </w:p>
  </w:footnote>
  <w:footnote w:type="continuationSeparator" w:id="0">
    <w:p w:rsidR="00E51740" w:rsidRDefault="00E5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8DFEA"/>
    <w:lvl w:ilvl="0">
      <w:numFmt w:val="bullet"/>
      <w:lvlText w:val="*"/>
      <w:lvlJc w:val="left"/>
    </w:lvl>
  </w:abstractNum>
  <w:abstractNum w:abstractNumId="1">
    <w:nsid w:val="051E7C38"/>
    <w:multiLevelType w:val="singleLevel"/>
    <w:tmpl w:val="68B8C262"/>
    <w:lvl w:ilvl="0">
      <w:start w:val="1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93C62DE"/>
    <w:multiLevelType w:val="singleLevel"/>
    <w:tmpl w:val="55783942"/>
    <w:lvl w:ilvl="0">
      <w:start w:val="1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C06653A"/>
    <w:multiLevelType w:val="singleLevel"/>
    <w:tmpl w:val="3A0E8C86"/>
    <w:lvl w:ilvl="0">
      <w:start w:val="1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46A4C40"/>
    <w:multiLevelType w:val="singleLevel"/>
    <w:tmpl w:val="10E45CD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18425602"/>
    <w:multiLevelType w:val="singleLevel"/>
    <w:tmpl w:val="BF8AC4A6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1B152923"/>
    <w:multiLevelType w:val="singleLevel"/>
    <w:tmpl w:val="E19EFAA0"/>
    <w:lvl w:ilvl="0">
      <w:start w:val="1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7">
    <w:nsid w:val="266E127B"/>
    <w:multiLevelType w:val="singleLevel"/>
    <w:tmpl w:val="549E9232"/>
    <w:lvl w:ilvl="0">
      <w:start w:val="6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8">
    <w:nsid w:val="27D01C1D"/>
    <w:multiLevelType w:val="singleLevel"/>
    <w:tmpl w:val="70C4B218"/>
    <w:lvl w:ilvl="0">
      <w:start w:val="22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9">
    <w:nsid w:val="2A4D15E9"/>
    <w:multiLevelType w:val="singleLevel"/>
    <w:tmpl w:val="A1A8342C"/>
    <w:lvl w:ilvl="0">
      <w:start w:val="1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2BAB6D03"/>
    <w:multiLevelType w:val="singleLevel"/>
    <w:tmpl w:val="D6400476"/>
    <w:lvl w:ilvl="0">
      <w:start w:val="2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11">
    <w:nsid w:val="33592B5C"/>
    <w:multiLevelType w:val="singleLevel"/>
    <w:tmpl w:val="465CB632"/>
    <w:lvl w:ilvl="0">
      <w:start w:val="1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424048D7"/>
    <w:multiLevelType w:val="hybridMultilevel"/>
    <w:tmpl w:val="504E23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3821757"/>
    <w:multiLevelType w:val="singleLevel"/>
    <w:tmpl w:val="1826C910"/>
    <w:lvl w:ilvl="0">
      <w:start w:val="1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4">
    <w:nsid w:val="4AD87CCE"/>
    <w:multiLevelType w:val="singleLevel"/>
    <w:tmpl w:val="6646EE76"/>
    <w:lvl w:ilvl="0">
      <w:start w:val="9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55846478"/>
    <w:multiLevelType w:val="singleLevel"/>
    <w:tmpl w:val="3B4401AA"/>
    <w:lvl w:ilvl="0">
      <w:start w:val="5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6">
    <w:nsid w:val="5A8E51BF"/>
    <w:multiLevelType w:val="singleLevel"/>
    <w:tmpl w:val="94808E50"/>
    <w:lvl w:ilvl="0">
      <w:start w:val="1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63167FC5"/>
    <w:multiLevelType w:val="singleLevel"/>
    <w:tmpl w:val="F56CF75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8">
    <w:nsid w:val="68D51150"/>
    <w:multiLevelType w:val="singleLevel"/>
    <w:tmpl w:val="983836A8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6BBC5B6E"/>
    <w:multiLevelType w:val="singleLevel"/>
    <w:tmpl w:val="9BFA368C"/>
    <w:lvl w:ilvl="0">
      <w:start w:val="20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20">
    <w:nsid w:val="6CD44AA3"/>
    <w:multiLevelType w:val="singleLevel"/>
    <w:tmpl w:val="381CE160"/>
    <w:lvl w:ilvl="0">
      <w:start w:val="1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70D97A38"/>
    <w:multiLevelType w:val="singleLevel"/>
    <w:tmpl w:val="369ED404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2">
    <w:nsid w:val="71407A28"/>
    <w:multiLevelType w:val="singleLevel"/>
    <w:tmpl w:val="5C72F462"/>
    <w:lvl w:ilvl="0">
      <w:start w:val="19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23">
    <w:nsid w:val="790B729A"/>
    <w:multiLevelType w:val="singleLevel"/>
    <w:tmpl w:val="A9EE8B66"/>
    <w:lvl w:ilvl="0">
      <w:start w:val="2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24">
    <w:nsid w:val="7A30539F"/>
    <w:multiLevelType w:val="singleLevel"/>
    <w:tmpl w:val="8CB8D05C"/>
    <w:lvl w:ilvl="0">
      <w:start w:val="1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>
    <w:nsid w:val="7CBA383C"/>
    <w:multiLevelType w:val="singleLevel"/>
    <w:tmpl w:val="38465C0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1"/>
  </w:num>
  <w:num w:numId="3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14"/>
  </w:num>
  <w:num w:numId="11">
    <w:abstractNumId w:val="18"/>
  </w:num>
  <w:num w:numId="12">
    <w:abstractNumId w:val="2"/>
  </w:num>
  <w:num w:numId="13">
    <w:abstractNumId w:val="3"/>
  </w:num>
  <w:num w:numId="14">
    <w:abstractNumId w:val="11"/>
  </w:num>
  <w:num w:numId="15">
    <w:abstractNumId w:val="9"/>
  </w:num>
  <w:num w:numId="16">
    <w:abstractNumId w:val="17"/>
  </w:num>
  <w:num w:numId="17">
    <w:abstractNumId w:val="5"/>
  </w:num>
  <w:num w:numId="18">
    <w:abstractNumId w:val="5"/>
    <w:lvlOverride w:ilvl="0">
      <w:lvl w:ilvl="0">
        <w:start w:val="3"/>
        <w:numFmt w:val="decimal"/>
        <w:lvlText w:val="%1.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22">
    <w:abstractNumId w:val="13"/>
    <w:lvlOverride w:ilvl="0">
      <w:lvl w:ilvl="0">
        <w:start w:val="2"/>
        <w:numFmt w:val="decimal"/>
        <w:lvlText w:val="%1.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16"/>
  </w:num>
  <w:num w:numId="25">
    <w:abstractNumId w:val="25"/>
  </w:num>
  <w:num w:numId="26">
    <w:abstractNumId w:val="25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20"/>
  </w:num>
  <w:num w:numId="29">
    <w:abstractNumId w:val="22"/>
  </w:num>
  <w:num w:numId="30">
    <w:abstractNumId w:val="19"/>
  </w:num>
  <w:num w:numId="31">
    <w:abstractNumId w:val="23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9"/>
    <w:rsid w:val="00097F7B"/>
    <w:rsid w:val="001E5809"/>
    <w:rsid w:val="003262B6"/>
    <w:rsid w:val="003D1E48"/>
    <w:rsid w:val="00424B88"/>
    <w:rsid w:val="00577562"/>
    <w:rsid w:val="00820DB7"/>
    <w:rsid w:val="0089056B"/>
    <w:rsid w:val="009240FE"/>
    <w:rsid w:val="009A5FFB"/>
    <w:rsid w:val="00AC5F23"/>
    <w:rsid w:val="00B013D7"/>
    <w:rsid w:val="00E10351"/>
    <w:rsid w:val="00E51740"/>
    <w:rsid w:val="00F0375A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212" w:lineRule="exact"/>
      <w:ind w:hanging="130"/>
      <w:jc w:val="both"/>
    </w:pPr>
  </w:style>
  <w:style w:type="paragraph" w:customStyle="1" w:styleId="Style2">
    <w:name w:val="Style2"/>
    <w:basedOn w:val="a"/>
    <w:pPr>
      <w:spacing w:line="213" w:lineRule="exact"/>
      <w:ind w:firstLine="295"/>
      <w:jc w:val="both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212" w:lineRule="exact"/>
      <w:ind w:firstLine="209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  <w:pPr>
      <w:spacing w:line="220" w:lineRule="exact"/>
      <w:ind w:firstLine="284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Pr>
      <w:rFonts w:ascii="Constantia" w:hAnsi="Constantia" w:cs="Constantia"/>
      <w:b/>
      <w:bCs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16">
    <w:name w:val="Font Style1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212" w:lineRule="exact"/>
      <w:ind w:hanging="130"/>
      <w:jc w:val="both"/>
    </w:pPr>
  </w:style>
  <w:style w:type="paragraph" w:customStyle="1" w:styleId="Style2">
    <w:name w:val="Style2"/>
    <w:basedOn w:val="a"/>
    <w:pPr>
      <w:spacing w:line="213" w:lineRule="exact"/>
      <w:ind w:firstLine="295"/>
      <w:jc w:val="both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212" w:lineRule="exact"/>
      <w:ind w:firstLine="209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  <w:pPr>
      <w:spacing w:line="220" w:lineRule="exact"/>
      <w:ind w:firstLine="284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Pr>
      <w:rFonts w:ascii="Constantia" w:hAnsi="Constantia" w:cs="Constantia"/>
      <w:b/>
      <w:bCs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16">
    <w:name w:val="Font Style1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медицине</vt:lpstr>
    </vt:vector>
  </TitlesOfParts>
  <Company/>
  <LinksUpToDate>false</LinksUpToDate>
  <CharactersWithSpaces>19989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медицине</dc:title>
  <dc:creator>FuckYouBill</dc:creator>
  <cp:lastModifiedBy>Igor</cp:lastModifiedBy>
  <cp:revision>2</cp:revision>
  <dcterms:created xsi:type="dcterms:W3CDTF">2024-05-31T19:03:00Z</dcterms:created>
  <dcterms:modified xsi:type="dcterms:W3CDTF">2024-05-31T19:03:00Z</dcterms:modified>
</cp:coreProperties>
</file>