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2E80">
      <w:pPr>
        <w:ind w:firstLine="285"/>
        <w:jc w:val="both"/>
      </w:pPr>
      <w:bookmarkStart w:id="0" w:name="_GoBack"/>
      <w:bookmarkEnd w:id="0"/>
      <w:r>
        <w:t>По данным ВОЗ, герпесвирусная инфекция занимает второе место после гриппа и ОРВИ в стру</w:t>
      </w:r>
      <w:r>
        <w:t>к</w:t>
      </w:r>
      <w:r>
        <w:t>туре смертности от вирусных инфекций. Инфекции, связанные с вирусом простого герпеса, являются одними из самых распространенных в мире. В стр</w:t>
      </w:r>
      <w:r>
        <w:t>а</w:t>
      </w:r>
      <w:r>
        <w:t xml:space="preserve">нах Европы этой инфекцией </w:t>
      </w:r>
      <w:r>
        <w:t>болеют около трети населения, в США среди новорожденных регистрируется 1 случай на 2500-3000 д</w:t>
      </w:r>
      <w:r>
        <w:t>е</w:t>
      </w:r>
      <w:r>
        <w:t xml:space="preserve">тей. </w:t>
      </w:r>
    </w:p>
    <w:p w:rsidR="00000000" w:rsidRDefault="00682E80">
      <w:pPr>
        <w:ind w:firstLine="285"/>
        <w:jc w:val="both"/>
      </w:pPr>
      <w:r>
        <w:t>Спектр клинических проявлений герпесвирусных инфекций очень разнообразен. Одной из т</w:t>
      </w:r>
      <w:r>
        <w:t>я</w:t>
      </w:r>
      <w:r>
        <w:t xml:space="preserve">желых форм этой инфекции является герпетический энцефалит (ГЭ). Вирус </w:t>
      </w:r>
      <w:r>
        <w:t>простого герпеса о</w:t>
      </w:r>
      <w:r>
        <w:t>б</w:t>
      </w:r>
      <w:r>
        <w:t>ладает нейротропными свойствами и поражает непосре</w:t>
      </w:r>
      <w:r>
        <w:t>д</w:t>
      </w:r>
      <w:r>
        <w:t>ственно нервную ткань, в головном мозге - все клетки от нейронов, глии до эндот</w:t>
      </w:r>
      <w:r>
        <w:t>е</w:t>
      </w:r>
      <w:r>
        <w:t>лия сосудов. Патологические изменения проявляются некрозом клеток, что может приводить к смерти больного л</w:t>
      </w:r>
      <w:r>
        <w:t>ибо к развитию тяжелых последствий со стороны центральной нервной системы. Синонимом термина «герпетический энцефалит» явл</w:t>
      </w:r>
      <w:r>
        <w:t>я</w:t>
      </w:r>
      <w:r>
        <w:t>ется те</w:t>
      </w:r>
      <w:r>
        <w:t>р</w:t>
      </w:r>
      <w:r>
        <w:t xml:space="preserve">мин «некротический энцефалит». </w:t>
      </w:r>
    </w:p>
    <w:p w:rsidR="00000000" w:rsidRDefault="00682E80">
      <w:pPr>
        <w:ind w:firstLine="285"/>
      </w:pPr>
      <w:r>
        <w:t>Герпетический энцефалит (ГЭ)- острое инфекционное заболевание головного мозга, обусло</w:t>
      </w:r>
      <w:r>
        <w:t>в</w:t>
      </w:r>
      <w:r>
        <w:t xml:space="preserve">ленное </w:t>
      </w:r>
      <w:r>
        <w:t>вирусами простого герпеса, отличается развитием некрозов в мозговой ткани и характер</w:t>
      </w:r>
      <w:r>
        <w:t>и</w:t>
      </w:r>
      <w:r>
        <w:t>зуется выраженными общемозговыми и локальными симптомами поражения ЦНС. ГЭ может пр</w:t>
      </w:r>
      <w:r>
        <w:t>о</w:t>
      </w:r>
      <w:r>
        <w:t>текать на фоне генерализованной герпетической инфекции, либо при изолированном поражени</w:t>
      </w:r>
      <w:r>
        <w:t>и головного мозга. Вирус простого герпеса  -1 и ВПГ -2 могут вызвать тяжелое поражение головн</w:t>
      </w:r>
      <w:r>
        <w:t>о</w:t>
      </w:r>
      <w:r>
        <w:t>го мозга при внутриутробном инфицировании (передача), но в большинстве случаев инфициров</w:t>
      </w:r>
      <w:r>
        <w:t>а</w:t>
      </w:r>
      <w:r>
        <w:t>ние плода происходит непосредственно перед родами после разрыва околоплод</w:t>
      </w:r>
      <w:r>
        <w:t>ных оболочек во</w:t>
      </w:r>
      <w:r>
        <w:t>с</w:t>
      </w:r>
      <w:r>
        <w:t>х</w:t>
      </w:r>
      <w:r>
        <w:t>о</w:t>
      </w:r>
      <w:r>
        <w:t>дящим путем (период - 4-6 часов) или во время родов при прохождении через инфицированную шейку матки или влагалище. Входными воротами при этом являются кожа, глаза, слизистая рта, дыхательные пути. В постнатальный период заражение ребенка</w:t>
      </w:r>
      <w:r>
        <w:t xml:space="preserve"> происходит при контакте с окр</w:t>
      </w:r>
      <w:r>
        <w:t>у</w:t>
      </w:r>
      <w:r>
        <w:t>жающими, имеющими обострение кожного герпеса. Инфицирование доношенных детей и детей старше 2 лет приводит чаще к персистенции вируса герпеса в сенсорных ганглиях и развитие э</w:t>
      </w:r>
      <w:r>
        <w:t>н</w:t>
      </w:r>
      <w:r>
        <w:t>цефалита связано с активацией латентного вируса и</w:t>
      </w:r>
      <w:r>
        <w:t xml:space="preserve"> продвижением его в мозг периневральным п</w:t>
      </w:r>
      <w:r>
        <w:t>у</w:t>
      </w:r>
      <w:r>
        <w:t xml:space="preserve">тем. </w:t>
      </w:r>
    </w:p>
    <w:p w:rsidR="00000000" w:rsidRDefault="00682E80">
      <w:pPr>
        <w:ind w:firstLine="285"/>
        <w:jc w:val="both"/>
      </w:pPr>
      <w:r>
        <w:t>Развитие ГЭ возможно при первичном заражении ВПГ (30% случаев) либо в связи с реактив</w:t>
      </w:r>
      <w:r>
        <w:t>а</w:t>
      </w:r>
      <w:r>
        <w:t>цией латентной герпетической инфекции (70%). Проникновение ВПГ в мозг происходит гемат</w:t>
      </w:r>
      <w:r>
        <w:t>о</w:t>
      </w:r>
      <w:r>
        <w:t>генным путем, особенно при ГГИ, хот</w:t>
      </w:r>
      <w:r>
        <w:t>я считается, что в основном вирус попадает в ЦНС ретроа</w:t>
      </w:r>
      <w:r>
        <w:t>к</w:t>
      </w:r>
      <w:r>
        <w:t>сонал</w:t>
      </w:r>
      <w:r>
        <w:t>ь</w:t>
      </w:r>
      <w:r>
        <w:t>но из ганглиев тройничного, обонятельного, языкоглоточного и блуждающего нервов, реже - зр</w:t>
      </w:r>
      <w:r>
        <w:t>и</w:t>
      </w:r>
      <w:r>
        <w:t>тельного или глазодвигательных  черепных нервов. Если началу ГЭ предшествовали стоматит или гингивит, т</w:t>
      </w:r>
      <w:r>
        <w:t>о вирус проникает в мозг по тройничному нерву, обусловливая преимуществе</w:t>
      </w:r>
      <w:r>
        <w:t>н</w:t>
      </w:r>
      <w:r>
        <w:t>ное поражение лобных и височных долей мозга. Если был эзофагит , то вирус распространяется по</w:t>
      </w:r>
    </w:p>
    <w:p w:rsidR="00000000" w:rsidRDefault="00682E80">
      <w:pPr>
        <w:ind w:firstLine="285"/>
        <w:jc w:val="both"/>
      </w:pPr>
      <w:r>
        <w:t>языкоглоточному и или блуждающему нервам, поражая стволовые отделы мозга. При перви</w:t>
      </w:r>
      <w:r>
        <w:t>ч</w:t>
      </w:r>
      <w:r>
        <w:t>ной л</w:t>
      </w:r>
      <w:r>
        <w:t>окализации герпетической инфекции в глазных яблоках (кератит, хориоретинит) вирус ра</w:t>
      </w:r>
      <w:r>
        <w:t>с</w:t>
      </w:r>
      <w:r>
        <w:t>пр</w:t>
      </w:r>
      <w:r>
        <w:t>о</w:t>
      </w:r>
      <w:r>
        <w:t>страняется по зрительному или глазодвигательным нервам, вызывая поражение затылочных, либо лобных долей мозга. Вертикальный путь передачи осуществляется трансплацентарн</w:t>
      </w:r>
      <w:r>
        <w:t xml:space="preserve">о (20%) или интра - и постнатально (80%). Инкубационный период ГЭ составляет 2-26 дней, чаще всего - 9 -4 дней. </w:t>
      </w:r>
    </w:p>
    <w:p w:rsidR="00000000" w:rsidRDefault="00682E80">
      <w:pPr>
        <w:ind w:firstLine="285"/>
        <w:jc w:val="both"/>
      </w:pPr>
      <w:r>
        <w:t>ГЭ у новорожденных возникает на 1 - 4 неделе жизни, а при ГГИ чаще в первые 7 - 1 0 дней п</w:t>
      </w:r>
      <w:r>
        <w:t>о</w:t>
      </w:r>
      <w:r>
        <w:t>сле рождения. Клинические проявления герпетической и</w:t>
      </w:r>
      <w:r>
        <w:t>нфекции с поражением ЦНС у новоро</w:t>
      </w:r>
      <w:r>
        <w:t>ж</w:t>
      </w:r>
      <w:r>
        <w:t>денных зависят от сроков инфицирования в перинатальном периоде ( интранатальный, ранний н</w:t>
      </w:r>
      <w:r>
        <w:t>е</w:t>
      </w:r>
      <w:r>
        <w:t>онатальный ) и характера развития инфекции : локализованная ( мозга ) и генерализованная (ви</w:t>
      </w:r>
      <w:r>
        <w:t>с</w:t>
      </w:r>
      <w:r>
        <w:t>церальных органов и кожи). Антенатально</w:t>
      </w:r>
      <w:r>
        <w:t>е инфицирование на ранних сроках беременности как правило заканчивается гибелью плода или рождением ребенка с пороками, несовместимыми с жи</w:t>
      </w:r>
      <w:r>
        <w:t>з</w:t>
      </w:r>
      <w:r>
        <w:t>нью. Заражение на поздних сроках приводит к развитию внутриутробной ГГИ с поражением различных органов и систем и фо</w:t>
      </w:r>
      <w:r>
        <w:t>рмированием пороков их развития, либо к изолированному э</w:t>
      </w:r>
      <w:r>
        <w:t>н</w:t>
      </w:r>
      <w:r>
        <w:t>цеф</w:t>
      </w:r>
      <w:r>
        <w:t>а</w:t>
      </w:r>
      <w:r>
        <w:t>литу. Обычно такие дети рождаются недоношенными с явлениями гипоксии. В клинической картине при рождении доминируют симптомы угнетения ЦНС в виде общей вялости ребенка, в</w:t>
      </w:r>
      <w:r>
        <w:t>я</w:t>
      </w:r>
      <w:r>
        <w:t>лого сосания, снижения с</w:t>
      </w:r>
      <w:r>
        <w:t>понтанной двигательной активности, мышечной гипотонии, гипорефле</w:t>
      </w:r>
      <w:r>
        <w:t>к</w:t>
      </w:r>
      <w:r>
        <w:t>сии. Если острый процесс заканчивается внутриутробно, отличительной особенностью является отсутствие общеинфекционного синдрома при рождении и нормальные клинические и биохим</w:t>
      </w:r>
      <w:r>
        <w:t>и</w:t>
      </w:r>
      <w:r>
        <w:lastRenderedPageBreak/>
        <w:t>ческие показател</w:t>
      </w:r>
      <w:r>
        <w:t>и ликвора и крови. Органическое поражение мозга , выявляемое прижизненно с помощью НСГ , компьютерной и магнитно - томографии или при патоморфологическом исслед</w:t>
      </w:r>
      <w:r>
        <w:t>о</w:t>
      </w:r>
      <w:r>
        <w:t>вании, характеризуется пороками развития, преимущественно срединных структур мозга; гипо - и ап</w:t>
      </w:r>
      <w:r>
        <w:t>л</w:t>
      </w:r>
      <w:r>
        <w:t>а</w:t>
      </w:r>
      <w:r>
        <w:t>зия мозолистого тела, отдельных долей мозга, червя мозжечка, сохранение эмбриональных полостей прозрачной перегородки, наличием микроцефалии, микро - и макрогирии, невыраженн</w:t>
      </w:r>
      <w:r>
        <w:t>о</w:t>
      </w:r>
      <w:r>
        <w:t xml:space="preserve">стью борозд второго порядка. Наблюдение за детьми в катамнезе в течение 1 0-24 </w:t>
      </w:r>
      <w:r>
        <w:t>месяцев пок</w:t>
      </w:r>
      <w:r>
        <w:t>а</w:t>
      </w:r>
      <w:r>
        <w:t>зывает грубую задержку психического и моторного развития, проявляющуюся развитием синдр</w:t>
      </w:r>
      <w:r>
        <w:t>о</w:t>
      </w:r>
      <w:r>
        <w:t>мов п</w:t>
      </w:r>
      <w:r>
        <w:t>а</w:t>
      </w:r>
      <w:r>
        <w:t>нагнозии, тетрапареза, нуклеарной дисплазии, а также присоединением миатонического, гиперк</w:t>
      </w:r>
      <w:r>
        <w:t>и</w:t>
      </w:r>
      <w:r>
        <w:t>нетического, нейротрофического синдромов, полиморфной медик</w:t>
      </w:r>
      <w:r>
        <w:t>аментозно–резистентной  эп</w:t>
      </w:r>
      <w:r>
        <w:t>и</w:t>
      </w:r>
      <w:r>
        <w:t xml:space="preserve">лепсии. </w:t>
      </w:r>
    </w:p>
    <w:p w:rsidR="00000000" w:rsidRDefault="00682E80">
      <w:pPr>
        <w:ind w:firstLine="285"/>
        <w:jc w:val="both"/>
      </w:pPr>
      <w:r>
        <w:t xml:space="preserve">При </w:t>
      </w:r>
      <w:r>
        <w:rPr>
          <w:i/>
          <w:iCs/>
        </w:rPr>
        <w:t>интранатальном инфицировании</w:t>
      </w:r>
      <w:r>
        <w:t xml:space="preserve"> заражение ВПГ происходит непосредственно перед р</w:t>
      </w:r>
      <w:r>
        <w:t>о</w:t>
      </w:r>
      <w:r>
        <w:t>дами при длительном безводном периоде (восходящим путем после разрыва околоплодных обол</w:t>
      </w:r>
      <w:r>
        <w:t>о</w:t>
      </w:r>
      <w:r>
        <w:t>чек), а также во время родов ( прохождении ребенка</w:t>
      </w:r>
      <w:r>
        <w:t xml:space="preserve"> через инфицированные родовые пути мат</w:t>
      </w:r>
      <w:r>
        <w:t>е</w:t>
      </w:r>
      <w:r>
        <w:t>ри).</w:t>
      </w:r>
    </w:p>
    <w:p w:rsidR="00000000" w:rsidRDefault="00682E80">
      <w:pPr>
        <w:ind w:firstLine="285"/>
        <w:jc w:val="both"/>
      </w:pPr>
      <w:r>
        <w:t xml:space="preserve">Выявлены </w:t>
      </w:r>
      <w:r>
        <w:rPr>
          <w:i/>
          <w:iCs/>
        </w:rPr>
        <w:t>3 варианта</w:t>
      </w:r>
      <w:r>
        <w:t xml:space="preserve"> развития ГЭ. </w:t>
      </w:r>
    </w:p>
    <w:p w:rsidR="00000000" w:rsidRDefault="00682E80">
      <w:pPr>
        <w:ind w:firstLine="285"/>
        <w:jc w:val="both"/>
      </w:pPr>
      <w:r>
        <w:t xml:space="preserve">Первый вариант чаще встречается у </w:t>
      </w:r>
      <w:r>
        <w:rPr>
          <w:i/>
          <w:iCs/>
        </w:rPr>
        <w:t>недоношенных детей</w:t>
      </w:r>
      <w:r>
        <w:t xml:space="preserve"> и характеризуется острым началом заболевания. Тяжесть состояния с рождения обусловлена дыхательной недостаточностью, тр</w:t>
      </w:r>
      <w:r>
        <w:t>е</w:t>
      </w:r>
      <w:r>
        <w:t>б</w:t>
      </w:r>
      <w:r>
        <w:t>у</w:t>
      </w:r>
      <w:r>
        <w:t>юще</w:t>
      </w:r>
      <w:r>
        <w:t>й перевода ребенка на ИВЛ, и угнетением сознания до комы, нередко в сочетании с генер</w:t>
      </w:r>
      <w:r>
        <w:t>а</w:t>
      </w:r>
      <w:r>
        <w:t>л</w:t>
      </w:r>
      <w:r>
        <w:t>и</w:t>
      </w:r>
      <w:r>
        <w:t>зованными тоническими и клоническими судорогами. Отмечается псевдобульбарный или см</w:t>
      </w:r>
      <w:r>
        <w:t>е</w:t>
      </w:r>
      <w:r>
        <w:t>шанный бульбарно –псевдобульбарный  парез, что обусловливает невозможность самостоят</w:t>
      </w:r>
      <w:r>
        <w:t>ельн</w:t>
      </w:r>
      <w:r>
        <w:t>о</w:t>
      </w:r>
      <w:r>
        <w:t>го глотания при сохранности сосательного рефлекса и рефлексов орального автоматизма. Хара</w:t>
      </w:r>
      <w:r>
        <w:t>к</w:t>
      </w:r>
      <w:r>
        <w:t>терным является симптом ликворной гипотензии, определяющий отсутствие клинических проя</w:t>
      </w:r>
      <w:r>
        <w:t>в</w:t>
      </w:r>
      <w:r>
        <w:t xml:space="preserve">лений гидроцефального синдрома даже при значительной вентрикулодилатации. </w:t>
      </w:r>
      <w:r>
        <w:t>Примерно в п</w:t>
      </w:r>
      <w:r>
        <w:t>о</w:t>
      </w:r>
      <w:r>
        <w:t>ловине случаев инфекция принимает характер ГГИ с поражением внутренних органов ( печени, почек ), но без кожных высыпаний и общеинфекционного синдрома. В ЦСЖ отмечается повыш</w:t>
      </w:r>
      <w:r>
        <w:t>е</w:t>
      </w:r>
      <w:r>
        <w:t xml:space="preserve">ние белка до 1 -2 г / и нарушение нормального соотношения клеточных </w:t>
      </w:r>
      <w:r>
        <w:t>элементов с появлением н</w:t>
      </w:r>
      <w:r>
        <w:t>е</w:t>
      </w:r>
      <w:r>
        <w:t>свойственных ликвору клеток - макрофагов, гистиоцитов,  плазматических клеток, эозинофилов. В периоде ранней реконвалесценции длительно сохраняются псевдобульбарные нарушения, м</w:t>
      </w:r>
      <w:r>
        <w:t>ы</w:t>
      </w:r>
      <w:r>
        <w:t>шечная гипотония, гипорефлексия физиологических рефле</w:t>
      </w:r>
      <w:r>
        <w:t>ксов новорожденных , а в дальнейшем выявляется грубое нарушение психомоторного развития, зрительного и слухового сосредоточ</w:t>
      </w:r>
      <w:r>
        <w:t>е</w:t>
      </w:r>
      <w:r>
        <w:t>ния, геми - и тетрапарезы, стойкий полиморфный судорожный синдром в виде генерализованных тонико - или миоклонических припадков, сло</w:t>
      </w:r>
      <w:r>
        <w:t>жных абса</w:t>
      </w:r>
      <w:r>
        <w:t>н</w:t>
      </w:r>
      <w:r>
        <w:t xml:space="preserve">сов. Нейросонографические признаки диффузного энцефалита. </w:t>
      </w:r>
    </w:p>
    <w:p w:rsidR="00000000" w:rsidRDefault="00682E80">
      <w:pPr>
        <w:ind w:firstLine="285"/>
        <w:jc w:val="both"/>
      </w:pPr>
      <w:r>
        <w:t>При другом варианте развития ГЭ, чаще встречаемом среди</w:t>
      </w:r>
      <w:r>
        <w:rPr>
          <w:i/>
          <w:iCs/>
        </w:rPr>
        <w:t xml:space="preserve"> доношенных новорожденных</w:t>
      </w:r>
      <w:r>
        <w:t>, заб</w:t>
      </w:r>
      <w:r>
        <w:t>о</w:t>
      </w:r>
      <w:r>
        <w:t>левание начинается подостро, с постепенным, в течение 1 –3 суток, ухудшением состояния, нара</w:t>
      </w:r>
      <w:r>
        <w:t>с</w:t>
      </w:r>
      <w:r>
        <w:t>танием в</w:t>
      </w:r>
      <w:r>
        <w:t>ялости, мышечной гипотонии, появлением тремора, неглубокого, но длительного нар</w:t>
      </w:r>
      <w:r>
        <w:t>у</w:t>
      </w:r>
      <w:r>
        <w:t>шения сознания до сопора, с дальнейшим присоединением очаговой неврологической симптом</w:t>
      </w:r>
      <w:r>
        <w:t>а</w:t>
      </w:r>
      <w:r>
        <w:t>тики – фокальных судорожных припадков, глазодвигательных нарушений. У части детей опред</w:t>
      </w:r>
      <w:r>
        <w:t>е</w:t>
      </w:r>
      <w:r>
        <w:t>л</w:t>
      </w:r>
      <w:r>
        <w:t>яются псевдобульбарные нарушения, менингеальные симптомы преимущественно в виде гипер</w:t>
      </w:r>
      <w:r>
        <w:t>е</w:t>
      </w:r>
      <w:r>
        <w:t>стезии. В ликворе выявляется белково – клеточная диссоциация, а вирусологические исследов</w:t>
      </w:r>
      <w:r>
        <w:t>а</w:t>
      </w:r>
      <w:r>
        <w:t>ния показывают низкий уровень АГ при нарастании специфических AT в цереброспинал</w:t>
      </w:r>
      <w:r>
        <w:t>ьной жидк</w:t>
      </w:r>
      <w:r>
        <w:t>о</w:t>
      </w:r>
      <w:r>
        <w:t>сти.</w:t>
      </w:r>
    </w:p>
    <w:p w:rsidR="00000000" w:rsidRDefault="00682E80">
      <w:pPr>
        <w:ind w:firstLine="285"/>
        <w:jc w:val="both"/>
      </w:pPr>
      <w:r>
        <w:t>В исходе данной формы ГЭ на фоне длительно сохраняющейся мышечной гипотонии отмечае</w:t>
      </w:r>
      <w:r>
        <w:t>т</w:t>
      </w:r>
      <w:r>
        <w:t xml:space="preserve">ся быстрое оживление сухожильных рефлексов, появление патологических пирамидных кистевых и стопных знаков. В дальнейшем формируется очаговая неврологическая </w:t>
      </w:r>
      <w:r>
        <w:t>симптоматика в виде г</w:t>
      </w:r>
      <w:r>
        <w:t>е</w:t>
      </w:r>
      <w:r>
        <w:t>мипарезов, фокальных эпилептических припадков, лобно-мозжечковой  атаксии, умеренная з</w:t>
      </w:r>
      <w:r>
        <w:t>а</w:t>
      </w:r>
      <w:r>
        <w:t>держка пс</w:t>
      </w:r>
      <w:r>
        <w:t>и</w:t>
      </w:r>
      <w:r>
        <w:t xml:space="preserve">хомоторного развития. </w:t>
      </w:r>
    </w:p>
    <w:p w:rsidR="00000000" w:rsidRDefault="00682E80">
      <w:pPr>
        <w:ind w:firstLine="285"/>
        <w:jc w:val="both"/>
      </w:pPr>
      <w:r>
        <w:t>Методами нейровизуализации выявляется картина очагового поражения головного мозга. На КТ  при этом визуализируются</w:t>
      </w:r>
      <w:r>
        <w:t xml:space="preserve"> ограниченные очаги пониженной плотности преимущественно в теменных и затылочных долях, располагающиеся в перивентрикулярных о</w:t>
      </w:r>
      <w:r>
        <w:t>т</w:t>
      </w:r>
      <w:r>
        <w:t>делах белого вещества распространяющиеся на кору. В динамике с 1 0-1 4 дня болезни на месте отека начинают поя</w:t>
      </w:r>
      <w:r>
        <w:t>в</w:t>
      </w:r>
      <w:r>
        <w:t>ляться анэхогенные</w:t>
      </w:r>
      <w:r>
        <w:t xml:space="preserve"> зоны некроза при НСГ или гиподенсные при КГ. В исх</w:t>
      </w:r>
      <w:r>
        <w:t>о</w:t>
      </w:r>
      <w:r>
        <w:t xml:space="preserve">де этих поражений </w:t>
      </w:r>
      <w:r>
        <w:lastRenderedPageBreak/>
        <w:t>образуются локальные кисты,  развивается атрофия соответствующих долей головного мозга. Х</w:t>
      </w:r>
      <w:r>
        <w:t>а</w:t>
      </w:r>
      <w:r>
        <w:t>рактерно развитие преимущественно наружной или внутренней викарной гидроцефалии в завис</w:t>
      </w:r>
      <w:r>
        <w:t>и</w:t>
      </w:r>
      <w:r>
        <w:t>мости от</w:t>
      </w:r>
      <w:r>
        <w:t xml:space="preserve"> преобладания явлений атрофии соответственно в коре или белом веществе. В дальне</w:t>
      </w:r>
      <w:r>
        <w:t>й</w:t>
      </w:r>
      <w:r>
        <w:t>шем кисты уменьшаются в размерах и могут спадаться либо сливаться с подлежащими ликворн</w:t>
      </w:r>
      <w:r>
        <w:t>ы</w:t>
      </w:r>
      <w:r>
        <w:t>ми пр</w:t>
      </w:r>
      <w:r>
        <w:t>о</w:t>
      </w:r>
      <w:r>
        <w:t xml:space="preserve">странствами, деформируя их. </w:t>
      </w:r>
    </w:p>
    <w:p w:rsidR="00000000" w:rsidRDefault="00682E80">
      <w:pPr>
        <w:ind w:firstLine="285"/>
        <w:jc w:val="both"/>
      </w:pPr>
      <w:r>
        <w:t xml:space="preserve">Особым вариантом течения ГЭ является </w:t>
      </w:r>
      <w:r>
        <w:rPr>
          <w:i/>
          <w:iCs/>
        </w:rPr>
        <w:t>хронически –про</w:t>
      </w:r>
      <w:r>
        <w:rPr>
          <w:i/>
          <w:iCs/>
        </w:rPr>
        <w:t>гредиентная  форма</w:t>
      </w:r>
      <w:r>
        <w:t xml:space="preserve"> , встречающаяся с одинаковой, частотой среди доношенных и недоношенных новорожденных. Заболевание нач</w:t>
      </w:r>
      <w:r>
        <w:t>и</w:t>
      </w:r>
      <w:r>
        <w:t>нается остро на второй неделе жизни (8-1 4 день ) с выраженного общеинфекционного синдрома : гипертермии до 38-40°С, нарастающей вялост</w:t>
      </w:r>
      <w:r>
        <w:t>и, отказа от еды. С первого дня болезни появляются типичные герпетические высыпания на коже головы и туловища. Быстро нарастает клиника ОГМ с развитием судорожно –коматозного  статуса, формированием поз декортикации и децеребрации .</w:t>
      </w:r>
    </w:p>
    <w:p w:rsidR="00000000" w:rsidRDefault="00682E80">
      <w:pPr>
        <w:ind w:firstLine="285"/>
        <w:jc w:val="both"/>
      </w:pPr>
      <w:r>
        <w:t>При выходе из комы сохр</w:t>
      </w:r>
      <w:r>
        <w:t>аняется упорный полиморфный судорожный синдром, наблюдаются п</w:t>
      </w:r>
      <w:r>
        <w:t>а</w:t>
      </w:r>
      <w:r>
        <w:t>резы конечностей, отсутствие зрительного сосредоточения .</w:t>
      </w:r>
    </w:p>
    <w:p w:rsidR="00000000" w:rsidRDefault="00682E80">
      <w:pPr>
        <w:ind w:firstLine="285"/>
        <w:jc w:val="both"/>
      </w:pPr>
      <w:r>
        <w:t>Отмечаются  менингеальные симптомы: ригидность затылочных мышц, приводящая к запрок</w:t>
      </w:r>
      <w:r>
        <w:t>и</w:t>
      </w:r>
      <w:r>
        <w:t>д</w:t>
      </w:r>
      <w:r>
        <w:t>ы</w:t>
      </w:r>
      <w:r>
        <w:t>ванию головы назад, гиперестезия. В ликворе выявля</w:t>
      </w:r>
      <w:r>
        <w:t xml:space="preserve">ется плеоцитоз до 500-1 000 клеток в мкл, повышение белка до 1,5-3,0 г /л. Вирусологические исследования показывают отсутствие AT к ВПГ в острую фазу болезни с поздним и низким синтезом их при динамическом наблюдении. </w:t>
      </w:r>
    </w:p>
    <w:p w:rsidR="00000000" w:rsidRDefault="00682E80">
      <w:pPr>
        <w:ind w:firstLine="285"/>
        <w:jc w:val="both"/>
      </w:pPr>
      <w:r>
        <w:t>Дальнейшее течение инфекции характери</w:t>
      </w:r>
      <w:r>
        <w:t xml:space="preserve">зуется частыми рецидивами кожного герпеса (3-4 в месяц) на голове и туловище, сопровождающимися у части детей нарастанием неврологической симптоматики, что может привести к гибели ребенка на фоне очередного обострения. </w:t>
      </w:r>
    </w:p>
    <w:p w:rsidR="00000000" w:rsidRDefault="00682E80">
      <w:pPr>
        <w:ind w:firstLine="285"/>
        <w:jc w:val="both"/>
      </w:pPr>
      <w:r>
        <w:t>Резидуальная неврологическая симптом</w:t>
      </w:r>
      <w:r>
        <w:t>атика у выживших детей представлена нарушением вы</w:t>
      </w:r>
      <w:r>
        <w:t>с</w:t>
      </w:r>
      <w:r>
        <w:t>ших корковых функций вплоть до вегетативного состояния , задержкой моторного развития, геми - и тетрапарезами, полиморфными судорожными припадками, гиперкинетическим синдр</w:t>
      </w:r>
      <w:r>
        <w:t>о</w:t>
      </w:r>
      <w:r>
        <w:t>мом (миоклонии, атетоз, торсионная</w:t>
      </w:r>
      <w:r>
        <w:t xml:space="preserve"> дистония ). Особенностью нейроимиджа при данной форме ГЭ является симметричное крупноочаговое поражение преимущественно лобных, височных или затылочных долей головного мозга с типичной картиной их отека в острый период болезни. В и</w:t>
      </w:r>
      <w:r>
        <w:t>с</w:t>
      </w:r>
      <w:r>
        <w:t xml:space="preserve">ходе выявляется грубая </w:t>
      </w:r>
      <w:r>
        <w:t>кистозно – аторофическая деформация пораженных участков вплоть до полной энцефал</w:t>
      </w:r>
      <w:r>
        <w:t>о</w:t>
      </w:r>
      <w:r>
        <w:t xml:space="preserve">маляции отдельных долей мозга. </w:t>
      </w:r>
    </w:p>
    <w:p w:rsidR="00000000" w:rsidRDefault="00682E80">
      <w:pPr>
        <w:ind w:firstLine="285"/>
        <w:jc w:val="both"/>
      </w:pPr>
    </w:p>
    <w:p w:rsidR="00000000" w:rsidRDefault="00682E80">
      <w:pPr>
        <w:ind w:firstLine="285"/>
        <w:jc w:val="both"/>
        <w:rPr>
          <w:i/>
          <w:iCs/>
        </w:rPr>
      </w:pPr>
      <w:r>
        <w:rPr>
          <w:i/>
          <w:iCs/>
        </w:rPr>
        <w:t xml:space="preserve">Клинико - неврологическая характеристика ГЭ у детей, заболевших в возрасте до 24 месяцев. </w:t>
      </w:r>
    </w:p>
    <w:p w:rsidR="00000000" w:rsidRDefault="00682E80">
      <w:pPr>
        <w:ind w:firstLine="285"/>
        <w:jc w:val="both"/>
      </w:pPr>
      <w:r>
        <w:t>ГЭ у детей в возрасте 4-24 мес отличается тяжелым т</w:t>
      </w:r>
      <w:r>
        <w:t>ечением с острым или сверхострым нач</w:t>
      </w:r>
      <w:r>
        <w:t>а</w:t>
      </w:r>
      <w:r>
        <w:t>лом и диффузным или многоочаговым поражением головного мозга, которое нередко протекает с кл</w:t>
      </w:r>
      <w:r>
        <w:t>и</w:t>
      </w:r>
      <w:r>
        <w:t>никой генерализованной герпетической инфекции . В анамнезе у части детей за 1 -2 недели до болезни отмечаются обострения кожно</w:t>
      </w:r>
      <w:r>
        <w:t>го герпеса у матери или близких родственников , реже э</w:t>
      </w:r>
      <w:r>
        <w:t>н</w:t>
      </w:r>
      <w:r>
        <w:t>цефалит развивается на фоне афтозного стоматита или офтальмогерпеса . Характерным является многообразие дебютов заболевания , которое маскируется под ОРВИ , гастроэнтерит , гепатит , что в ряде случаев</w:t>
      </w:r>
      <w:r>
        <w:t xml:space="preserve"> служит причиной госпитализации детей в непрофильные отделения , непр</w:t>
      </w:r>
      <w:r>
        <w:t>а</w:t>
      </w:r>
      <w:r>
        <w:t>вильной трактовки симптомов и позднего назначения адекватной специфической терапии , что в свою очередь отражается на исходах болезни .</w:t>
      </w:r>
    </w:p>
    <w:p w:rsidR="00000000" w:rsidRDefault="00682E80">
      <w:pPr>
        <w:ind w:firstLine="285"/>
        <w:jc w:val="both"/>
      </w:pPr>
      <w:r>
        <w:t xml:space="preserve">Лишь в 1 /3 случаев ГЭ сразу начинается с подъема </w:t>
      </w:r>
      <w:r>
        <w:t>температуры до 38-40°С,  выраженной и</w:t>
      </w:r>
      <w:r>
        <w:t>н</w:t>
      </w:r>
      <w:r>
        <w:t>токсикации, развития общемозговых симптомов (боли, повторных рвот). Быстро нарастает ра</w:t>
      </w:r>
      <w:r>
        <w:t>с</w:t>
      </w:r>
      <w:r>
        <w:t>стройство сознания до глубокого сопора или комы, появляются декортикационная или децеребр</w:t>
      </w:r>
      <w:r>
        <w:t>а</w:t>
      </w:r>
      <w:r>
        <w:t>ционная ригидность, развивается эпилепти</w:t>
      </w:r>
      <w:r>
        <w:t>ческий статус, дыхательная или полиорганная недост</w:t>
      </w:r>
      <w:r>
        <w:t>а</w:t>
      </w:r>
      <w:r>
        <w:t>точность. Менингеальные симптомы вызываются у половины детей. Прогрессирующий ОГМ м</w:t>
      </w:r>
      <w:r>
        <w:t>о</w:t>
      </w:r>
      <w:r>
        <w:t>жет привести к дислокации мозга с развитием синдрома вклинения, чаще транстенториального. После выхода из комы выявляются</w:t>
      </w:r>
      <w:r>
        <w:t xml:space="preserve"> разной степени нарушения сознания, судороги, парезы, гипе</w:t>
      </w:r>
      <w:r>
        <w:t>р</w:t>
      </w:r>
      <w:r>
        <w:t>кинезы, миоритмии, оперкулярные автоматизмы. В ликворе определяется лимфоцитарный пле</w:t>
      </w:r>
      <w:r>
        <w:t>о</w:t>
      </w:r>
      <w:r>
        <w:t>цитоз до 800-1 000 клеток в 1 мкл, повышение белка до 1 ,5-2,0 г /л.</w:t>
      </w:r>
    </w:p>
    <w:p w:rsidR="00000000" w:rsidRDefault="00682E80">
      <w:pPr>
        <w:ind w:firstLine="285"/>
        <w:jc w:val="both"/>
      </w:pPr>
      <w:r>
        <w:t>Из диагностических тестов методами ПЦР и И</w:t>
      </w:r>
      <w:r>
        <w:t xml:space="preserve">ФА из ликвора и крови, а при летальном исходе и из ткани мозга, и внутренних органов выделяются АГ вируса простого герпеса и AT к вирусу классов IgM и IgG. В исходе энцефалита в неврологическом статусе определяются выраженные нарушения корковых функций до </w:t>
      </w:r>
      <w:r>
        <w:t>парциальной или панагнозии, очаговая симптоматика в виде г</w:t>
      </w:r>
      <w:r>
        <w:t>е</w:t>
      </w:r>
      <w:r>
        <w:lastRenderedPageBreak/>
        <w:t>ми – и тетрапареза, гиперкинетического синдрома, лобной или мозжечковой атаксии, генерализ</w:t>
      </w:r>
      <w:r>
        <w:t>о</w:t>
      </w:r>
      <w:r>
        <w:t xml:space="preserve">ванных или фокальных судорожных припадков . </w:t>
      </w:r>
    </w:p>
    <w:p w:rsidR="00000000" w:rsidRDefault="00682E80">
      <w:pPr>
        <w:ind w:firstLine="285"/>
        <w:jc w:val="both"/>
      </w:pPr>
      <w:r>
        <w:t>На КТ в острый период болезни видны разных размеров очаги пон</w:t>
      </w:r>
      <w:r>
        <w:t>иженной плотности преим</w:t>
      </w:r>
      <w:r>
        <w:t>у</w:t>
      </w:r>
      <w:r>
        <w:t>щественно в лобных и височных, реже в теменных и затылочных долях, в таламусе, что соотве</w:t>
      </w:r>
      <w:r>
        <w:t>т</w:t>
      </w:r>
      <w:r>
        <w:t>с</w:t>
      </w:r>
      <w:r>
        <w:t>т</w:t>
      </w:r>
      <w:r>
        <w:t>вует зонам некроза мозгового вещества, подтверждаемым при аутопсии у умерших детей. В дал</w:t>
      </w:r>
      <w:r>
        <w:t>ь</w:t>
      </w:r>
      <w:r>
        <w:t xml:space="preserve">нейшем на их месте образуются кисты, определяется </w:t>
      </w:r>
      <w:r>
        <w:t>атрофия коры мозга с развит</w:t>
      </w:r>
      <w:r>
        <w:t>и</w:t>
      </w:r>
      <w:r>
        <w:t>ем вика</w:t>
      </w:r>
      <w:r>
        <w:t>р</w:t>
      </w:r>
      <w:r>
        <w:t>ной внутренней и наружной гидроцефалии, множественные кальцификаты и участки глиоза, пр</w:t>
      </w:r>
      <w:r>
        <w:t>и</w:t>
      </w:r>
      <w:r>
        <w:t xml:space="preserve">знаки демиелинизации белого вещества. </w:t>
      </w:r>
    </w:p>
    <w:p w:rsidR="00000000" w:rsidRDefault="00682E80">
      <w:pPr>
        <w:ind w:firstLine="285"/>
        <w:jc w:val="both"/>
      </w:pPr>
      <w:r>
        <w:rPr>
          <w:i/>
          <w:iCs/>
        </w:rPr>
        <w:t>Клинико - неврологическая характеристика ГЭ у детей дошкольного и школьного возраста</w:t>
      </w:r>
      <w:r>
        <w:t>.</w:t>
      </w:r>
    </w:p>
    <w:p w:rsidR="00000000" w:rsidRDefault="00682E80">
      <w:pPr>
        <w:ind w:firstLine="285"/>
        <w:jc w:val="both"/>
      </w:pPr>
      <w:r>
        <w:t>Особенн</w:t>
      </w:r>
      <w:r>
        <w:t>остью ГЭ у детей старшей возрастной группы (4 до 1 4 лет) является преобладание очаг</w:t>
      </w:r>
      <w:r>
        <w:t>о</w:t>
      </w:r>
      <w:r>
        <w:t>вых форм над диффузными. Это связано с тем, что энцефалит развивается у них вторично при р</w:t>
      </w:r>
      <w:r>
        <w:t>е</w:t>
      </w:r>
      <w:r>
        <w:t>активации латентной ГИ и вирус проникает в мозг ретроаксонально из сенсорных ган</w:t>
      </w:r>
      <w:r>
        <w:t>глиев тройничного, обонятельного, языкоглоточного, блуждающего нервов, реже зрительного и глаз</w:t>
      </w:r>
      <w:r>
        <w:t>о</w:t>
      </w:r>
      <w:r>
        <w:t>двиг</w:t>
      </w:r>
      <w:r>
        <w:t>а</w:t>
      </w:r>
      <w:r>
        <w:t>тельного черепных нервов.</w:t>
      </w:r>
    </w:p>
    <w:p w:rsidR="00000000" w:rsidRDefault="00682E80">
      <w:pPr>
        <w:ind w:firstLine="285"/>
        <w:jc w:val="both"/>
      </w:pPr>
      <w:r>
        <w:t>Непосредственно энцефалиту нередко за 1 -2 недели предшествуют симптомы ОРВИ.  Забол</w:t>
      </w:r>
      <w:r>
        <w:t>е</w:t>
      </w:r>
      <w:r>
        <w:t xml:space="preserve">вание начинается остро с подъема температуры </w:t>
      </w:r>
      <w:r>
        <w:t>до 38-40°С, нарастающей головной боли, повто</w:t>
      </w:r>
      <w:r>
        <w:t>р</w:t>
      </w:r>
      <w:r>
        <w:t>ных рвот. По мере нарастания ОГМ прогрессирует расстройство сознания от спутанности, дезор</w:t>
      </w:r>
      <w:r>
        <w:t>и</w:t>
      </w:r>
      <w:r>
        <w:t>ентации во времени и пространстве до сопора и комы. Развиваются судорожные припадки - ген</w:t>
      </w:r>
      <w:r>
        <w:t>е</w:t>
      </w:r>
      <w:r>
        <w:t>рализованные или парциальные Д</w:t>
      </w:r>
      <w:r>
        <w:t>жексоновские, учащающиеся до серийных и переходящие в эп</w:t>
      </w:r>
      <w:r>
        <w:t>и</w:t>
      </w:r>
      <w:r>
        <w:t>статус. Дальнейшее развитие отека мозга может привести к височно - вклинению с появлением типичной триады симптомов – потери сознания, анизокории и контрлатерального гемипареза. С первых дней болезни</w:t>
      </w:r>
      <w:r>
        <w:t xml:space="preserve"> выявляются симптомы очагового поражения мозга в виде моно - и гемипар</w:t>
      </w:r>
      <w:r>
        <w:t>е</w:t>
      </w:r>
      <w:r>
        <w:t xml:space="preserve">зов, парестезии в конечностях. </w:t>
      </w:r>
    </w:p>
    <w:p w:rsidR="00000000" w:rsidRDefault="00682E80">
      <w:pPr>
        <w:ind w:firstLine="285"/>
        <w:jc w:val="both"/>
      </w:pPr>
      <w:r>
        <w:t>Расстройства высших корковых функций проявляются в отдельных видах агнозии, апраксии, афазии. Особенностью ГЭ у старших детей является широкий спектр пси</w:t>
      </w:r>
      <w:r>
        <w:t>хопатологических ра</w:t>
      </w:r>
      <w:r>
        <w:t>с</w:t>
      </w:r>
      <w:r>
        <w:t>стройств от грубых органических до функционально -. Реже отмечаются симптомы поражения ств</w:t>
      </w:r>
      <w:r>
        <w:t>о</w:t>
      </w:r>
      <w:r>
        <w:t>ла мозга - двоение, глазодвигательные, бульбарные нарушения, полиморфные гиперкинезы, координаторные расстройства. Менингеальные симптомы выражен</w:t>
      </w:r>
      <w:r>
        <w:t>ы нерезко и зависят от вовл</w:t>
      </w:r>
      <w:r>
        <w:t>е</w:t>
      </w:r>
      <w:r>
        <w:t>чения в процесс оболочек мозга и выраженности ВЧГ.</w:t>
      </w:r>
    </w:p>
    <w:p w:rsidR="00000000" w:rsidRDefault="00682E80">
      <w:pPr>
        <w:ind w:firstLine="285"/>
        <w:jc w:val="both"/>
      </w:pPr>
      <w:r>
        <w:t>В клиническом анализе крови в первые дни заболевания может отмечаться лейкоцитоз с не</w:t>
      </w:r>
      <w:r>
        <w:t>й</w:t>
      </w:r>
      <w:r>
        <w:t>трофилезом - относительная лимфопения. Изменения цереброспинальной жидкости  характ</w:t>
      </w:r>
      <w:r>
        <w:t>е</w:t>
      </w:r>
      <w:r>
        <w:t>риз</w:t>
      </w:r>
      <w:r>
        <w:t>у</w:t>
      </w:r>
      <w:r>
        <w:t>ютс</w:t>
      </w:r>
      <w:r>
        <w:t>я умеренным лимфоцитарным плеоцитозом до 300-800 клеток в мкл, иногда с примесью эри</w:t>
      </w:r>
      <w:r>
        <w:t>т</w:t>
      </w:r>
      <w:r>
        <w:t>роцитов, нарастанием бе</w:t>
      </w:r>
      <w:r>
        <w:t>л</w:t>
      </w:r>
      <w:r>
        <w:t xml:space="preserve">ка с 5-7 суток болезни. </w:t>
      </w:r>
    </w:p>
    <w:p w:rsidR="00000000" w:rsidRDefault="00682E80">
      <w:pPr>
        <w:ind w:firstLine="285"/>
        <w:jc w:val="both"/>
      </w:pPr>
      <w:r>
        <w:t>При КГ исследовании уже на 2-5 день болезни выявляются чаще один или несколько очагов пониженной плотности преимущественно</w:t>
      </w:r>
      <w:r>
        <w:t xml:space="preserve"> в лобных, височных или затылочных долях, участки кр</w:t>
      </w:r>
      <w:r>
        <w:t>о</w:t>
      </w:r>
      <w:r>
        <w:t xml:space="preserve">воизлияний в вещество мозга. В дальнейшем на их месте формируются кисты,  кальцификаты, развиваются атрофические изменения в пораженных отделах мозга. </w:t>
      </w:r>
    </w:p>
    <w:p w:rsidR="00000000" w:rsidRDefault="00682E80">
      <w:pPr>
        <w:ind w:firstLine="285"/>
        <w:jc w:val="both"/>
      </w:pPr>
      <w:r>
        <w:t>Методом ПЦР из ликвора удается выделить фрагменты Д</w:t>
      </w:r>
      <w:r>
        <w:t>НК ВПГ, а вирусологические иссл</w:t>
      </w:r>
      <w:r>
        <w:t>е</w:t>
      </w:r>
      <w:r>
        <w:t>дов</w:t>
      </w:r>
      <w:r>
        <w:t>а</w:t>
      </w:r>
      <w:r>
        <w:t xml:space="preserve">ния показывают нарастание уровня специфических антител преимущественно класса </w:t>
      </w:r>
      <w:r>
        <w:rPr>
          <w:lang w:val="en-US"/>
        </w:rPr>
        <w:t>I</w:t>
      </w:r>
      <w:r>
        <w:t>gG3, указ</w:t>
      </w:r>
      <w:r>
        <w:t>ы</w:t>
      </w:r>
      <w:r>
        <w:t xml:space="preserve">вающих на обострение хронической инфекции. </w:t>
      </w:r>
    </w:p>
    <w:p w:rsidR="00000000" w:rsidRDefault="00682E80">
      <w:pPr>
        <w:ind w:firstLine="285"/>
        <w:jc w:val="both"/>
        <w:rPr>
          <w:lang w:val="en-US"/>
        </w:rPr>
      </w:pPr>
      <w:r>
        <w:t>В исходе болезни степень неврологического дефицита широко варьирует - от локальных двиг</w:t>
      </w:r>
      <w:r>
        <w:t>а</w:t>
      </w:r>
      <w:r>
        <w:t>тельных нарушений и умеренных расстройств высших корковых функций до развития торпидных гиперкинетического, акинетико - и эпилептического синдромов, грубых интеллектуальных и пс</w:t>
      </w:r>
      <w:r>
        <w:t>и</w:t>
      </w:r>
      <w:r>
        <w:t xml:space="preserve">хических нарушений. </w:t>
      </w:r>
    </w:p>
    <w:p w:rsidR="00000000" w:rsidRDefault="00682E80">
      <w:pPr>
        <w:ind w:firstLine="285"/>
        <w:jc w:val="both"/>
      </w:pPr>
      <w:r>
        <w:t>Изучение вирусогенеза, иммуногенеза и биохимических изме</w:t>
      </w:r>
      <w:r>
        <w:t>нений в цереброспинальной жи</w:t>
      </w:r>
      <w:r>
        <w:t>д</w:t>
      </w:r>
      <w:r>
        <w:t>кости, позволило выявить критерии прогнозирования исхода ГЭ у детей. Было показано, что н</w:t>
      </w:r>
      <w:r>
        <w:t>е</w:t>
      </w:r>
      <w:r>
        <w:t>благоприятные исходы заболев</w:t>
      </w:r>
      <w:r>
        <w:t>а</w:t>
      </w:r>
      <w:r>
        <w:t>ния тесно связаны с высоким уровнем АГ вируса простого герпеса  в ЦСЖ и низким содерж</w:t>
      </w:r>
      <w:r>
        <w:t>а</w:t>
      </w:r>
      <w:r>
        <w:t xml:space="preserve">нием </w:t>
      </w:r>
      <w:r>
        <w:rPr>
          <w:lang w:val="en-US"/>
        </w:rPr>
        <w:t>AT</w:t>
      </w:r>
      <w:r>
        <w:t xml:space="preserve"> и интерферона;</w:t>
      </w:r>
      <w:r>
        <w:t xml:space="preserve"> тогда как при благоприятном исходе уровень АГ в ЦСЖ низкий, а с</w:t>
      </w:r>
      <w:r>
        <w:t>о</w:t>
      </w:r>
      <w:r>
        <w:t xml:space="preserve">держание </w:t>
      </w:r>
      <w:r>
        <w:rPr>
          <w:lang w:val="en-US"/>
        </w:rPr>
        <w:t>AT</w:t>
      </w:r>
      <w:r>
        <w:t xml:space="preserve"> и интерферона высокое. Таким образом, поражение мозга ВПГ обусловлено фактором недостаточного проникновения антител в цереброспинальной жидк</w:t>
      </w:r>
      <w:r>
        <w:t>о</w:t>
      </w:r>
      <w:r>
        <w:t>сти  и сниженной интратекал</w:t>
      </w:r>
      <w:r>
        <w:t>ь</w:t>
      </w:r>
      <w:r>
        <w:t>ной продук</w:t>
      </w:r>
      <w:r>
        <w:t xml:space="preserve">цией </w:t>
      </w:r>
      <w:r>
        <w:rPr>
          <w:lang w:val="en-US"/>
        </w:rPr>
        <w:t>AT</w:t>
      </w:r>
      <w:r>
        <w:t>.</w:t>
      </w:r>
    </w:p>
    <w:p w:rsidR="00000000" w:rsidRDefault="00682E80">
      <w:pPr>
        <w:ind w:firstLine="285"/>
        <w:jc w:val="both"/>
      </w:pPr>
      <w:r>
        <w:lastRenderedPageBreak/>
        <w:t>Проведенный иммунологический анализ показал, что у детей более благоприятным является гуморальный тип иммунного ответа, ассоциированный с синтезом противовоспалительных цит</w:t>
      </w:r>
      <w:r>
        <w:t>о</w:t>
      </w:r>
      <w:r>
        <w:t>кинов ИЛ -4, 10 и 13, Т - антителообразования, тогда как " клеточный " тип</w:t>
      </w:r>
      <w:r>
        <w:t xml:space="preserve"> иммунного ответа, с</w:t>
      </w:r>
      <w:r>
        <w:t>о</w:t>
      </w:r>
      <w:r>
        <w:t xml:space="preserve">пряженный с максимальной выраженностью локальных воспалительных реакций способствует значительному повреждению ткани мозга с исходом в резидуальные явления. </w:t>
      </w:r>
    </w:p>
    <w:p w:rsidR="00000000" w:rsidRDefault="00682E80">
      <w:pPr>
        <w:ind w:firstLine="285"/>
        <w:jc w:val="both"/>
      </w:pPr>
    </w:p>
    <w:p w:rsidR="00000000" w:rsidRDefault="00682E80">
      <w:pPr>
        <w:jc w:val="both"/>
        <w:rPr>
          <w:i/>
          <w:iCs/>
        </w:rPr>
      </w:pPr>
      <w:r>
        <w:rPr>
          <w:i/>
          <w:iCs/>
        </w:rPr>
        <w:t xml:space="preserve">Методы лабораторной диагностики герпетического энцефалита. </w:t>
      </w:r>
    </w:p>
    <w:p w:rsidR="00000000" w:rsidRDefault="00682E80">
      <w:pPr>
        <w:ind w:firstLine="285"/>
        <w:jc w:val="both"/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2286"/>
        <w:gridCol w:w="2280"/>
        <w:gridCol w:w="22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4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Метод диагности</w:t>
            </w:r>
            <w:r>
              <w:rPr>
                <w:sz w:val="20"/>
              </w:rPr>
              <w:t>ки</w:t>
            </w:r>
          </w:p>
        </w:tc>
        <w:tc>
          <w:tcPr>
            <w:tcW w:w="2286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Чувствительность</w:t>
            </w:r>
          </w:p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тода (%)</w:t>
            </w:r>
          </w:p>
        </w:tc>
        <w:tc>
          <w:tcPr>
            <w:tcW w:w="2280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Специфичность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тода (%)</w:t>
            </w:r>
          </w:p>
        </w:tc>
        <w:tc>
          <w:tcPr>
            <w:tcW w:w="2220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Требуемое время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4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Культивирование вируса</w:t>
            </w:r>
          </w:p>
        </w:tc>
        <w:tc>
          <w:tcPr>
            <w:tcW w:w="2286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80-100</w:t>
            </w:r>
          </w:p>
        </w:tc>
        <w:tc>
          <w:tcPr>
            <w:tcW w:w="2280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20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2-5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964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Выдел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антигенов</w:t>
            </w:r>
          </w:p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иммунофлюоресцентный </w:t>
            </w:r>
          </w:p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иммунопероксидазный </w:t>
            </w:r>
          </w:p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иммуноферментный</w:t>
            </w:r>
          </w:p>
        </w:tc>
        <w:tc>
          <w:tcPr>
            <w:tcW w:w="2286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70-75</w:t>
            </w:r>
          </w:p>
        </w:tc>
        <w:tc>
          <w:tcPr>
            <w:tcW w:w="2280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220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1-2 часа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64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Обнаружение вирусного г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нома (ПЦР)</w:t>
            </w:r>
          </w:p>
        </w:tc>
        <w:tc>
          <w:tcPr>
            <w:tcW w:w="2286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80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>5-100</w:t>
            </w:r>
          </w:p>
        </w:tc>
        <w:tc>
          <w:tcPr>
            <w:tcW w:w="2220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1 - 2 дня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964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Серологические методы</w:t>
            </w:r>
          </w:p>
        </w:tc>
        <w:tc>
          <w:tcPr>
            <w:tcW w:w="2286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95-99</w:t>
            </w:r>
          </w:p>
        </w:tc>
        <w:tc>
          <w:tcPr>
            <w:tcW w:w="2280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99-100</w:t>
            </w:r>
          </w:p>
        </w:tc>
        <w:tc>
          <w:tcPr>
            <w:tcW w:w="2220" w:type="dxa"/>
          </w:tcPr>
          <w:p w:rsidR="00000000" w:rsidRDefault="00682E80">
            <w:pPr>
              <w:ind w:firstLine="285"/>
              <w:jc w:val="both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</w:tr>
    </w:tbl>
    <w:p w:rsidR="00000000" w:rsidRDefault="00682E80">
      <w:pPr>
        <w:ind w:firstLine="285"/>
        <w:jc w:val="both"/>
      </w:pPr>
    </w:p>
    <w:p w:rsidR="00000000" w:rsidRDefault="00682E80">
      <w:pPr>
        <w:ind w:firstLine="285"/>
        <w:jc w:val="both"/>
        <w:rPr>
          <w:i/>
          <w:iCs/>
        </w:rPr>
      </w:pPr>
      <w:r>
        <w:rPr>
          <w:i/>
          <w:iCs/>
        </w:rPr>
        <w:t>Диагноз заболевания подтверждается лабораторными и инструментальными методами и</w:t>
      </w:r>
      <w:r>
        <w:rPr>
          <w:i/>
          <w:iCs/>
        </w:rPr>
        <w:t>с</w:t>
      </w:r>
      <w:r>
        <w:rPr>
          <w:i/>
          <w:iCs/>
        </w:rPr>
        <w:t>следов</w:t>
      </w:r>
      <w:r>
        <w:rPr>
          <w:i/>
          <w:iCs/>
        </w:rPr>
        <w:t>а</w:t>
      </w:r>
      <w:r>
        <w:rPr>
          <w:i/>
          <w:iCs/>
        </w:rPr>
        <w:t xml:space="preserve">ния: </w:t>
      </w:r>
    </w:p>
    <w:p w:rsidR="00000000" w:rsidRDefault="00682E80">
      <w:pPr>
        <w:numPr>
          <w:ilvl w:val="0"/>
          <w:numId w:val="47"/>
        </w:numPr>
        <w:ind w:firstLine="285"/>
        <w:jc w:val="both"/>
      </w:pPr>
      <w:r>
        <w:t xml:space="preserve">Нарастание титра специфических Ig G в крови и ликворе в динамике. </w:t>
      </w:r>
    </w:p>
    <w:p w:rsidR="00000000" w:rsidRDefault="00682E80">
      <w:pPr>
        <w:numPr>
          <w:ilvl w:val="0"/>
          <w:numId w:val="47"/>
        </w:numPr>
        <w:ind w:firstLine="285"/>
        <w:jc w:val="both"/>
      </w:pPr>
      <w:r>
        <w:t>Соотношение титров специфическиих Ig</w:t>
      </w:r>
      <w:r>
        <w:t xml:space="preserve"> G в крови и ликворе должно составлять 300:1 и более. </w:t>
      </w:r>
    </w:p>
    <w:p w:rsidR="00000000" w:rsidRDefault="00682E80">
      <w:pPr>
        <w:numPr>
          <w:ilvl w:val="0"/>
          <w:numId w:val="47"/>
        </w:numPr>
        <w:ind w:firstLine="285"/>
        <w:jc w:val="both"/>
      </w:pPr>
      <w:r>
        <w:t xml:space="preserve">Титр специфических Ig G в ликворе - 1:16 и более. </w:t>
      </w:r>
    </w:p>
    <w:p w:rsidR="00000000" w:rsidRDefault="00682E80">
      <w:pPr>
        <w:numPr>
          <w:ilvl w:val="0"/>
          <w:numId w:val="47"/>
        </w:numPr>
        <w:ind w:firstLine="285"/>
        <w:jc w:val="both"/>
      </w:pPr>
      <w:r>
        <w:t xml:space="preserve">Присутствие в ликворе специфических Ig M. </w:t>
      </w:r>
    </w:p>
    <w:p w:rsidR="00000000" w:rsidRDefault="00682E80">
      <w:pPr>
        <w:numPr>
          <w:ilvl w:val="0"/>
          <w:numId w:val="47"/>
        </w:numPr>
        <w:ind w:firstLine="285"/>
        <w:jc w:val="both"/>
      </w:pPr>
      <w:r>
        <w:t xml:space="preserve">Обнаружение в ликворе ДНК вируса простого герпеса с помощью полимеразной цепной реакции (ПЦР). </w:t>
      </w:r>
    </w:p>
    <w:p w:rsidR="00000000" w:rsidRDefault="00682E80">
      <w:pPr>
        <w:numPr>
          <w:ilvl w:val="0"/>
          <w:numId w:val="47"/>
        </w:numPr>
        <w:ind w:firstLine="285"/>
        <w:jc w:val="both"/>
      </w:pPr>
      <w:r>
        <w:t>Наличие оча</w:t>
      </w:r>
      <w:r>
        <w:t>гов некроза в мозге, обнаруженное при компьютерной или магнитнор</w:t>
      </w:r>
      <w:r>
        <w:t>е</w:t>
      </w:r>
      <w:r>
        <w:t>зонан</w:t>
      </w:r>
      <w:r>
        <w:t>с</w:t>
      </w:r>
      <w:r>
        <w:t>ной томографии, чаще в лобно-височной области мозга (возможно уже с 5-7-го дня забол</w:t>
      </w:r>
      <w:r>
        <w:t>е</w:t>
      </w:r>
      <w:r>
        <w:t>вания).</w:t>
      </w:r>
    </w:p>
    <w:p w:rsidR="00000000" w:rsidRDefault="00682E80">
      <w:pPr>
        <w:ind w:left="645"/>
        <w:jc w:val="both"/>
      </w:pPr>
    </w:p>
    <w:p w:rsidR="00000000" w:rsidRDefault="00682E80">
      <w:pPr>
        <w:pStyle w:val="10"/>
        <w:rPr>
          <w:i/>
          <w:iCs/>
        </w:rPr>
      </w:pPr>
      <w:r>
        <w:rPr>
          <w:i/>
          <w:iCs/>
        </w:rPr>
        <w:t>Лечение герпетического энцефалита.</w:t>
      </w:r>
    </w:p>
    <w:p w:rsidR="00000000" w:rsidRDefault="00682E80">
      <w:pPr>
        <w:pStyle w:val="10"/>
      </w:pPr>
      <w:r>
        <w:t>В лечении ГЭ можно выделить 4 основных направления:</w:t>
      </w:r>
    </w:p>
    <w:p w:rsidR="00000000" w:rsidRDefault="00682E80">
      <w:pPr>
        <w:pStyle w:val="10"/>
      </w:pPr>
      <w:r>
        <w:t>1.пр</w:t>
      </w:r>
      <w:r>
        <w:t>именение антивирусных препаратов, из которых препаратом выбора является</w:t>
      </w:r>
    </w:p>
    <w:p w:rsidR="00000000" w:rsidRDefault="00682E80">
      <w:pPr>
        <w:pStyle w:val="10"/>
      </w:pPr>
      <w:r>
        <w:t>ацикловир ( виролекс);</w:t>
      </w:r>
    </w:p>
    <w:p w:rsidR="00000000" w:rsidRDefault="00682E80">
      <w:pPr>
        <w:pStyle w:val="10"/>
      </w:pPr>
      <w:r>
        <w:t>2. разработка способов защиты мозга от быстро нарастающей внутричерепной</w:t>
      </w:r>
    </w:p>
    <w:p w:rsidR="00000000" w:rsidRDefault="00682E80">
      <w:pPr>
        <w:pStyle w:val="10"/>
      </w:pPr>
      <w:r>
        <w:t>гипертензии и гипоксии;</w:t>
      </w:r>
    </w:p>
    <w:p w:rsidR="00000000" w:rsidRDefault="00682E80">
      <w:pPr>
        <w:pStyle w:val="10"/>
      </w:pPr>
      <w:r>
        <w:t>3. коррекция иммунных нарушений, связанных с состоянием Т – и ин</w:t>
      </w:r>
      <w:r>
        <w:t>тратекального иммунит</w:t>
      </w:r>
      <w:r>
        <w:t>е</w:t>
      </w:r>
      <w:r>
        <w:t>та;</w:t>
      </w:r>
    </w:p>
    <w:p w:rsidR="00000000" w:rsidRDefault="00682E80">
      <w:pPr>
        <w:pStyle w:val="10"/>
      </w:pPr>
      <w:r>
        <w:t>4. устранение иди уменьшение очаговых либо диффузных неврологических нарушений, во</w:t>
      </w:r>
      <w:r>
        <w:t>з</w:t>
      </w:r>
      <w:r>
        <w:t xml:space="preserve">никших в результате повреждения структур мозга. </w:t>
      </w:r>
    </w:p>
    <w:p w:rsidR="00000000" w:rsidRDefault="00682E80">
      <w:pPr>
        <w:pStyle w:val="10"/>
      </w:pPr>
      <w:r>
        <w:t>Исходы ГЭ зависят от быстроты применения этиотропной терапии. Препаратом выбора при ГЭ является ац</w:t>
      </w:r>
      <w:r>
        <w:t>икловир ( виролекс ), представляющий из себя ациклический аналог гуанозина , я</w:t>
      </w:r>
      <w:r>
        <w:t>в</w:t>
      </w:r>
      <w:r>
        <w:t>л</w:t>
      </w:r>
      <w:r>
        <w:t>я</w:t>
      </w:r>
      <w:r>
        <w:t>ющийся одним из самых частых концевых и внутренних нуклеозидов ДНК герпесвирусов . М</w:t>
      </w:r>
      <w:r>
        <w:t>е</w:t>
      </w:r>
      <w:r>
        <w:t>х</w:t>
      </w:r>
      <w:r>
        <w:t>а</w:t>
      </w:r>
      <w:r>
        <w:t xml:space="preserve">низм действия ацикловира в организме инфицированного герпесвирусами человека основан на </w:t>
      </w:r>
      <w:r>
        <w:t>следующие особенностях :</w:t>
      </w:r>
    </w:p>
    <w:p w:rsidR="00000000" w:rsidRDefault="00682E80">
      <w:pPr>
        <w:pStyle w:val="10"/>
      </w:pPr>
      <w:r>
        <w:t>1 . Ацикловир высокоспецифичен ферментам именно герпесвирусов. Этим обусловлена выс</w:t>
      </w:r>
      <w:r>
        <w:t>о</w:t>
      </w:r>
      <w:r>
        <w:t>кая избирательность его противогерпетического действия и невмешательство в биохимические пр</w:t>
      </w:r>
      <w:r>
        <w:t>о</w:t>
      </w:r>
      <w:r>
        <w:t xml:space="preserve">цессы клеток организма. </w:t>
      </w:r>
    </w:p>
    <w:p w:rsidR="00000000" w:rsidRDefault="00682E80">
      <w:pPr>
        <w:ind w:firstLine="285"/>
        <w:jc w:val="both"/>
      </w:pPr>
      <w:r>
        <w:t xml:space="preserve">2.Тимидинкиназа герпесвирусов </w:t>
      </w:r>
      <w:r>
        <w:t>в тысячи раз быстрее, чем клеточная, связывается с ациклов</w:t>
      </w:r>
      <w:r>
        <w:t>и</w:t>
      </w:r>
      <w:r>
        <w:t>ром, поэтому фосфорилированный ацикловир накапливается практически только в инфицирова</w:t>
      </w:r>
      <w:r>
        <w:t>н</w:t>
      </w:r>
      <w:r>
        <w:lastRenderedPageBreak/>
        <w:t>ных клетках. Этим объясняется полное отсутствие у ацикловира цитотоксических, тератогенных и м</w:t>
      </w:r>
      <w:r>
        <w:t>у</w:t>
      </w:r>
      <w:r>
        <w:t>тагенных свойст</w:t>
      </w:r>
      <w:r>
        <w:t xml:space="preserve">в. </w:t>
      </w:r>
    </w:p>
    <w:p w:rsidR="00000000" w:rsidRDefault="00682E80">
      <w:pPr>
        <w:ind w:firstLine="285"/>
        <w:jc w:val="both"/>
      </w:pPr>
      <w:r>
        <w:t>3. ДНК - герпесвирусов ошибочно включает фосфорилированный ацикловир вместо естестве</w:t>
      </w:r>
      <w:r>
        <w:t>н</w:t>
      </w:r>
      <w:r>
        <w:t>ного дезоксигуанозинтрифосфата в концевые участки синтезируемых новых вирусных ДНК, бл</w:t>
      </w:r>
      <w:r>
        <w:t>о</w:t>
      </w:r>
      <w:r>
        <w:t xml:space="preserve">кируя формирование новых вирусных частиц. </w:t>
      </w:r>
    </w:p>
    <w:p w:rsidR="00000000" w:rsidRDefault="00682E80">
      <w:pPr>
        <w:ind w:firstLine="285"/>
        <w:jc w:val="both"/>
      </w:pPr>
      <w:r>
        <w:t>Внутривенно ацикловир применяется в в</w:t>
      </w:r>
      <w:r>
        <w:t>иде капельных инфузий из расчета 15мг /кг  или 500 мг/м</w:t>
      </w:r>
      <w:r>
        <w:rPr>
          <w:vertAlign w:val="superscript"/>
        </w:rPr>
        <w:t>2</w:t>
      </w:r>
      <w:r>
        <w:t xml:space="preserve">  каждые 8 часов. Курс терапии не менее 1 0-1 4 дней. Предварительно ацикловир разводится в 100-200 изотонического раствора натрия хлорида, скорость капельного введения - 20-30 кап /мин., длительность</w:t>
      </w:r>
      <w:r>
        <w:t xml:space="preserve"> введения всей разовой дозы – не менее часа при ежедневном контроле кл</w:t>
      </w:r>
      <w:r>
        <w:t>и</w:t>
      </w:r>
      <w:r>
        <w:t>ренса креат</w:t>
      </w:r>
      <w:r>
        <w:t>и</w:t>
      </w:r>
      <w:r>
        <w:t xml:space="preserve">нина, мочевины и трансаминаз крови. </w:t>
      </w:r>
    </w:p>
    <w:p w:rsidR="00000000" w:rsidRDefault="00682E80">
      <w:pPr>
        <w:ind w:firstLine="285"/>
        <w:jc w:val="both"/>
      </w:pPr>
      <w:r>
        <w:t>При энтеральном применении ацикловира следует учитывать, что из желудочно –кишечного тракта он всасывается на 30-40%, поэтому суточные д</w:t>
      </w:r>
      <w:r>
        <w:t>озировки следует увеличить в 2-3 раза . Кратность приема 4-5 раз в день . При энтеральном приеме предпочтительными являются преп</w:t>
      </w:r>
      <w:r>
        <w:t>а</w:t>
      </w:r>
      <w:r>
        <w:t>раты валацикловир  и фамацикловир , которые хорошо всасываются из желудочно - тракта и в крови превращаются в ацикловир . Конце</w:t>
      </w:r>
      <w:r>
        <w:t>нтрация ацикловира в крови при их приеме достигают 80%.</w:t>
      </w:r>
    </w:p>
    <w:p w:rsidR="00000000" w:rsidRDefault="00682E80">
      <w:pPr>
        <w:ind w:firstLine="285"/>
        <w:jc w:val="both"/>
      </w:pPr>
    </w:p>
    <w:p w:rsidR="00000000" w:rsidRDefault="00682E80">
      <w:pPr>
        <w:ind w:firstLine="285"/>
        <w:rPr>
          <w:i/>
          <w:iCs/>
        </w:rPr>
      </w:pPr>
      <w:r>
        <w:rPr>
          <w:i/>
          <w:iCs/>
        </w:rPr>
        <w:t>Антигерпетические препараты.</w:t>
      </w:r>
    </w:p>
    <w:tbl>
      <w:tblPr>
        <w:tblW w:w="975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0"/>
        <w:gridCol w:w="3508"/>
        <w:gridCol w:w="4972"/>
      </w:tblGrid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Название преп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рата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Показания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Применение и дозировка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000000" w:rsidRDefault="00682E80">
            <w:pPr>
              <w:ind w:firstLine="28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Химиопрепараты (аномальные нуклеозиды)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Валацикл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вир (валтрекс)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Герпетические поражения кожи и слизистых оболочек, вы</w:t>
            </w:r>
            <w:r>
              <w:rPr>
                <w:sz w:val="16"/>
              </w:rPr>
              <w:t>званные в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русом простого герпеса, профилактика рецидива простого ге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песа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Внутрь, при опоясывающем герпесе - по 1000 мг 3 раза в день (7 дней),при простом герпесе - по 500 мг 2 раза в день; при рец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 xml:space="preserve">дивах - в течение 5 дней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Пенцикл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вир (вектавир)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Герпетиче</w:t>
            </w:r>
            <w:r>
              <w:rPr>
                <w:sz w:val="16"/>
              </w:rPr>
              <w:t>ский везикулярный де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матит губ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Наружно. Взрослым и детям старше 16 лет наносят на выс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>пания к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ждые 2 ч днем в течение 4 дней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Фамцикл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вир (фамвир)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Острые и рецидивирующие инфе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ции,вызванные Herpes zoster, Herpes simplex I и II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Внутрь, взрослым при острой и</w:t>
            </w:r>
            <w:r>
              <w:rPr>
                <w:sz w:val="16"/>
              </w:rPr>
              <w:t>нфе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ции, вызванной Herpes zoster, по 250 мг 3 раза в день в течение недели; при постгерпет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ческой невралгии - по 250 мг 3 раза в день; при впервые возни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шем эпизоде или р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цидиве ранее не подвергавшейся лечению герпетической 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фекции, вызванной Herpes simpl</w:t>
            </w:r>
            <w:r>
              <w:rPr>
                <w:sz w:val="16"/>
              </w:rPr>
              <w:t>ex I и II, - по 250 мг 3 раза в день в 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чение5 дней, для лечения повторного эпизода рецидивирующего ге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песа - по 125 мг 2 раза в день в 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чение 5 дней; длительная супресси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ная терапия для профилакт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ки клинически выраженных и латентно прот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кающих рецидивов</w:t>
            </w:r>
            <w:r>
              <w:rPr>
                <w:sz w:val="16"/>
              </w:rPr>
              <w:t xml:space="preserve"> герпетической инфе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ции - по 250 мг 2 раза в день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Ганцикл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вир (цимевен)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ЦМВ-инфекция. Капсулы: поддерживающая 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рапия ЦМВ-ретинита у больных с ослабле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ным иммун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тетом; профилактика ЦМВ-инфекции у ВИЧ- положительных лиц группы риска по ЦМВ- инфе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ции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Дозу п</w:t>
            </w:r>
            <w:r>
              <w:rPr>
                <w:sz w:val="16"/>
              </w:rPr>
              <w:t>одбирают индивидуально. Обычно начинают с внутр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ве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ного введения 5 мг/кг с постоянной скор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стью в течение 1 ч каждые 12 ч (10 мг/кг/сут) в течение 14-21 дня. Для поддерж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вающей терапии вводят 6 мг/кг 5 раз в неделю или 5 мг/кг еж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дневно. Внутрь, во время е</w:t>
            </w:r>
            <w:r>
              <w:rPr>
                <w:sz w:val="16"/>
              </w:rPr>
              <w:t>ды. Больным с ЦМВ-ретинитом по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держ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вающая доза - 3 г/сут(по 1 г 3 раза в сутки или по 500 мг 6 раза в с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тки). Для профилактики ЦМВ-инфекции - по 1 г 3 раза в сутки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000000" w:rsidRDefault="00682E80">
            <w:pPr>
              <w:ind w:firstLine="28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Индукторы ИФН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Тилорон (ами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син)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ЦМВ, герпетические инфекции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Внутрь, после еды. По 0,125-0</w:t>
            </w:r>
            <w:r>
              <w:rPr>
                <w:sz w:val="16"/>
              </w:rPr>
              <w:t>,25 г (1-2 табл.) в день в теч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ние 2 дней, затем по 0,125 г через 48 ч в течение 4 нед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Неовир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Инфекции, вызываемые вирусом Herpes simpiex (в том числе тяжелые формы пе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вичного Herpes simpiex genitalis, у лиц с нарушениями и</w:t>
            </w:r>
            <w:r>
              <w:rPr>
                <w:sz w:val="16"/>
              </w:rPr>
              <w:t>м</w:t>
            </w:r>
            <w:r>
              <w:rPr>
                <w:sz w:val="16"/>
              </w:rPr>
              <w:t>мунной системы); первичные и ре</w:t>
            </w:r>
            <w:r>
              <w:rPr>
                <w:sz w:val="16"/>
              </w:rPr>
              <w:t>цидивир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ющие инфе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ции, вызванные вирусом Varicella zoster (включая лиц с имм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нодефицитом)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Внутримышечно, в обычной дозе по 250 мг (4-6 мг на 1 кг массы тела). При урогенитальных инфекциях - курс л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чения: 5-7 инъекций с интервалом 48 ч. При длительном или п</w:t>
            </w:r>
            <w:r>
              <w:rPr>
                <w:sz w:val="16"/>
              </w:rPr>
              <w:t>рофилактич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ском применении рекомендуется 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тервал 3-7 сут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Циклоферон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ЦМВ-инфекции, герпес любой л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кализации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В/м или в/в, разовая доза 0,25 г 1 раз в сутки в течение 2 дней, з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тем через день. Базовые курсы при простом герпесе и Herpes zoster 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ста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ляют:кур</w:t>
            </w:r>
            <w:r>
              <w:rPr>
                <w:sz w:val="16"/>
              </w:rPr>
              <w:t>с - 10 инъекций по схеме: 1, 2, 4, 6, 8, 11, 14, 17, 20 и 23-й день,повторный курс (для закрепления э</w:t>
            </w:r>
            <w:r>
              <w:rPr>
                <w:sz w:val="16"/>
              </w:rPr>
              <w:t>ф</w:t>
            </w:r>
            <w:r>
              <w:rPr>
                <w:sz w:val="16"/>
              </w:rPr>
              <w:t>фекта) через 10 -12 дней - 5-7 инъекций; при хронических формах рекомендуется сочетание с др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гими противовирусными препар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 xml:space="preserve">тами и лечебной вакциной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000000" w:rsidRDefault="00682E80">
            <w:pPr>
              <w:ind w:firstLine="28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Иммун</w:t>
            </w:r>
            <w:r>
              <w:rPr>
                <w:sz w:val="20"/>
              </w:rPr>
              <w:t>омодуляторы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Алпизарин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Назначают взрослым внутрь и наружно при пр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стом герпесе кожи и слизистых оболочек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Внутрь принимают (независимо от приема пищи) по 0,1 г (1 табл.) 3-4 раза в сутки в течение 5-10 дней. Одновременно назн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чают мес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ные аппликации 5% мази</w:t>
            </w:r>
            <w:r>
              <w:rPr>
                <w:sz w:val="16"/>
              </w:rPr>
              <w:t xml:space="preserve"> на кожу или 2% мази на сл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зистую оболо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ку. Мазь наносят на пораже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 xml:space="preserve">ные участки кожи без повязки 2-3 раза в </w:t>
            </w:r>
            <w:r>
              <w:rPr>
                <w:sz w:val="16"/>
              </w:rPr>
              <w:lastRenderedPageBreak/>
              <w:t>день. Продолжительность курса л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чения - 10-30 дней в зависимости от тяжести и формы заболевания. При р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цидиве рекомендуются повто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ные курсы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lastRenderedPageBreak/>
              <w:t>Имунофан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Иммунодефицитные состояния различной эти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логии, в том числе ЦМВ-инфекции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П/к, в/м. При оппортунистических инфекциях (ЦМВ и герп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тич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ской инфекции) - 10-15 инъекций каждые тр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тьи сутки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Ликопид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Офтальмогерпес. Опоясывающий герпес, герпес любой локализации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Для лечения герпеса любой локализ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ции, при легких формах по 2 табл.(1 мг) 3 раза в сутки, при тяжелых - по 1 табл. (10 мг) 1-2 раза в сутки в течение 6 дней. При герпетическом кератите (в сочетании с противовирусными пр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паратами) по 1 табл. (10 мг) 2 раза </w:t>
            </w:r>
            <w:r>
              <w:rPr>
                <w:sz w:val="16"/>
              </w:rPr>
              <w:t>в сутки, 2 трехдневных курса с интерв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лом в 3 дня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Полиокс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доний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Иммунодефицитные состояния (в составе комплексной терапии), в том числе хронический рецидив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рующий герпес</w:t>
            </w:r>
          </w:p>
        </w:tc>
        <w:tc>
          <w:tcPr>
            <w:tcW w:w="0" w:type="auto"/>
            <w:vAlign w:val="center"/>
          </w:tcPr>
          <w:p w:rsidR="00000000" w:rsidRDefault="00682E80">
            <w:pPr>
              <w:ind w:firstLine="285"/>
              <w:jc w:val="both"/>
              <w:rPr>
                <w:sz w:val="16"/>
                <w:szCs w:val="20"/>
              </w:rPr>
            </w:pPr>
            <w:r>
              <w:rPr>
                <w:sz w:val="16"/>
              </w:rPr>
              <w:t>Взрослым: в/м (содержимое ампулы или флакона ра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 xml:space="preserve">творяют в 1,5-2 мл воды для инъекций </w:t>
            </w:r>
            <w:r>
              <w:rPr>
                <w:sz w:val="16"/>
              </w:rPr>
              <w:t>или изотонического раствора хл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рида натрия).При хроническом рец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дивирующем герпесе - по 6 мг через день, курс - 10 инъекций, в сочетании с антигерпетич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скими препар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тами, ИНФ и индукторами ИНФ. Детям: в/м или в/в капельно в дозе 0,1-0,15 мг/кг 1 раз в сутк</w:t>
            </w:r>
            <w:r>
              <w:rPr>
                <w:sz w:val="16"/>
              </w:rPr>
              <w:t>и в 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чение 2-3 дней курсом 5-7 инъекций</w:t>
            </w:r>
          </w:p>
        </w:tc>
      </w:tr>
    </w:tbl>
    <w:p w:rsidR="00000000" w:rsidRDefault="00682E80">
      <w:pPr>
        <w:ind w:firstLine="285"/>
        <w:jc w:val="both"/>
        <w:rPr>
          <w:vanish/>
          <w:sz w:val="16"/>
          <w:szCs w:val="20"/>
        </w:rPr>
      </w:pPr>
    </w:p>
    <w:p w:rsidR="00000000" w:rsidRDefault="00682E80">
      <w:pPr>
        <w:ind w:firstLine="285"/>
        <w:jc w:val="both"/>
        <w:rPr>
          <w:sz w:val="16"/>
        </w:rPr>
      </w:pPr>
    </w:p>
    <w:p w:rsidR="00000000" w:rsidRDefault="00682E80">
      <w:pPr>
        <w:ind w:firstLine="285"/>
        <w:jc w:val="both"/>
      </w:pPr>
      <w:r>
        <w:t>Для повышения эффективности лечения противовирусными нуклеозидами используют разные в</w:t>
      </w:r>
      <w:r>
        <w:t>а</w:t>
      </w:r>
      <w:r>
        <w:t>рианты комбинированного лечения:</w:t>
      </w:r>
    </w:p>
    <w:p w:rsidR="00000000" w:rsidRDefault="00682E80">
      <w:pPr>
        <w:ind w:firstLine="285"/>
        <w:jc w:val="both"/>
      </w:pPr>
      <w:r>
        <w:t>1 . ацикловир с одним из поливалентных препаратов иммуноглобулина (пентаглобин, сантогл</w:t>
      </w:r>
      <w:r>
        <w:t>о</w:t>
      </w:r>
      <w:r>
        <w:t xml:space="preserve">бин, </w:t>
      </w:r>
      <w:r>
        <w:t>отечественный иммуноглобулин фирмы «Инбио»);</w:t>
      </w:r>
    </w:p>
    <w:p w:rsidR="00000000" w:rsidRDefault="00682E80">
      <w:pPr>
        <w:pStyle w:val="10"/>
      </w:pPr>
      <w:r>
        <w:t>2. сочетание ацикловира, поливалентных препаратов иммуноглобулина с дексаметазоном;</w:t>
      </w:r>
    </w:p>
    <w:p w:rsidR="00000000" w:rsidRDefault="00682E80">
      <w:pPr>
        <w:ind w:firstLine="285"/>
        <w:jc w:val="both"/>
      </w:pPr>
      <w:r>
        <w:t xml:space="preserve">3. ацикловир с препаратом интерферона (виферон). </w:t>
      </w:r>
    </w:p>
    <w:p w:rsidR="00000000" w:rsidRDefault="00682E80">
      <w:pPr>
        <w:ind w:firstLine="285"/>
        <w:jc w:val="both"/>
      </w:pPr>
      <w:r>
        <w:t>Наиболее эффективным методом борьбы с отеком головного мозга, особенно при ра</w:t>
      </w:r>
      <w:r>
        <w:t>звитии с</w:t>
      </w:r>
      <w:r>
        <w:t>у</w:t>
      </w:r>
      <w:r>
        <w:t>дорожно –коматозного  синдрома является ИВЛ в режиме умеренной гипервентиляции. В ко</w:t>
      </w:r>
      <w:r>
        <w:t>м</w:t>
      </w:r>
      <w:r>
        <w:t>плекс интенсивной терапии, направленной на лечение внутричерепной гипертензии, входят  иакже дегидратирующие средс</w:t>
      </w:r>
      <w:r>
        <w:t>т</w:t>
      </w:r>
      <w:r>
        <w:t>ва (маннитол, лазикс), глюкокортикоидные гормон</w:t>
      </w:r>
      <w:r>
        <w:t>ы. Для купирования эпилептических припадков назначаются противосудорожные средства.</w:t>
      </w:r>
    </w:p>
    <w:p w:rsidR="00000000" w:rsidRDefault="00682E80">
      <w:pPr>
        <w:ind w:firstLine="285"/>
        <w:jc w:val="both"/>
      </w:pPr>
      <w:r>
        <w:t>Патогенетическая терапия при ГЭ включает сосудистые и симптоматические средства, напра</w:t>
      </w:r>
      <w:r>
        <w:t>в</w:t>
      </w:r>
      <w:r>
        <w:t>ле</w:t>
      </w:r>
      <w:r>
        <w:t>н</w:t>
      </w:r>
      <w:r>
        <w:t>ные на улучшение мозговой перфузии и энергетического состояния ткани мозга. Препар</w:t>
      </w:r>
      <w:r>
        <w:t>атами в</w:t>
      </w:r>
      <w:r>
        <w:t>ы</w:t>
      </w:r>
      <w:r>
        <w:t>бора являются трентал, либо актовегин, инстенон, пирацетам, солкосерил.</w:t>
      </w:r>
    </w:p>
    <w:p w:rsidR="00000000" w:rsidRDefault="00682E80">
      <w:pPr>
        <w:ind w:firstLine="285"/>
        <w:jc w:val="both"/>
      </w:pPr>
      <w:r>
        <w:t>В периоде ранней реконвалесценции проводится восстановительная терапия, включающая м</w:t>
      </w:r>
      <w:r>
        <w:t>е</w:t>
      </w:r>
      <w:r>
        <w:t>дикаментозные средства, физиотерапию массаж, ЛФК, иглорефлексотерапию. Продолжается пр</w:t>
      </w:r>
      <w:r>
        <w:t>и</w:t>
      </w:r>
      <w:r>
        <w:t>ем п</w:t>
      </w:r>
      <w:r>
        <w:t>репаратов, стимулирующих обменные процессы в нервной системе – ноотропил, пантогам, витамины группы В; улучшающие кровообращение в нервной ткани – актовегин, трентал, ци</w:t>
      </w:r>
      <w:r>
        <w:t>н</w:t>
      </w:r>
      <w:r>
        <w:t>н</w:t>
      </w:r>
      <w:r>
        <w:t>а</w:t>
      </w:r>
      <w:r>
        <w:t>ризин.</w:t>
      </w:r>
    </w:p>
    <w:p w:rsidR="00000000" w:rsidRDefault="00682E80">
      <w:pPr>
        <w:ind w:firstLine="285"/>
        <w:jc w:val="both"/>
      </w:pPr>
      <w:r>
        <w:t xml:space="preserve">Остаточные явления могут быть в виде мнестико-интеллектуальных расстройств с </w:t>
      </w:r>
      <w:r>
        <w:t>утратой пр</w:t>
      </w:r>
      <w:r>
        <w:t>и</w:t>
      </w:r>
      <w:r>
        <w:t>обретенных навыков и знаний, обеднением речи, регрессом поведения; пареза конечностей, г</w:t>
      </w:r>
      <w:r>
        <w:t>и</w:t>
      </w:r>
      <w:r>
        <w:t>перкинезов.</w:t>
      </w:r>
    </w:p>
    <w:p w:rsidR="00000000" w:rsidRDefault="00682E80">
      <w:pPr>
        <w:ind w:firstLine="285"/>
        <w:jc w:val="center"/>
      </w:pPr>
      <w:r>
        <w:br w:type="page"/>
      </w:r>
      <w:r>
        <w:lastRenderedPageBreak/>
        <w:t>Содержание:</w:t>
      </w:r>
    </w:p>
    <w:p w:rsidR="00000000" w:rsidRDefault="00682E80">
      <w:pPr>
        <w:ind w:firstLine="285"/>
      </w:pPr>
      <w:r>
        <w:t>Герпетический энцефалит – этиология, патогенез – 1стр.</w:t>
      </w:r>
    </w:p>
    <w:p w:rsidR="00000000" w:rsidRDefault="00682E80">
      <w:pPr>
        <w:ind w:firstLine="285"/>
      </w:pPr>
      <w:r>
        <w:t>Течение ГЭ у новорожденных – 2 стр.</w:t>
      </w:r>
    </w:p>
    <w:p w:rsidR="00000000" w:rsidRDefault="00682E80">
      <w:pPr>
        <w:ind w:firstLine="285"/>
      </w:pPr>
      <w:r>
        <w:t>Течение ГЭ у детей до 2 лет – 3 стр.</w:t>
      </w:r>
    </w:p>
    <w:p w:rsidR="00000000" w:rsidRDefault="00682E80">
      <w:pPr>
        <w:pStyle w:val="10"/>
      </w:pPr>
      <w:r>
        <w:t xml:space="preserve">ГЭ </w:t>
      </w:r>
      <w:r>
        <w:t>у детей дошкольного и школьного возраста – 4 стр.</w:t>
      </w:r>
    </w:p>
    <w:p w:rsidR="00000000" w:rsidRDefault="00682E80">
      <w:pPr>
        <w:ind w:firstLine="285"/>
      </w:pPr>
      <w:r>
        <w:t>Методы лабораторной диагностики – 5 стр.</w:t>
      </w:r>
    </w:p>
    <w:p w:rsidR="00000000" w:rsidRDefault="00682E80">
      <w:pPr>
        <w:ind w:firstLine="285"/>
      </w:pPr>
      <w:r>
        <w:t>Критерии диагностики – 5 стр.</w:t>
      </w:r>
    </w:p>
    <w:p w:rsidR="00000000" w:rsidRDefault="00682E80">
      <w:pPr>
        <w:pStyle w:val="10"/>
      </w:pPr>
      <w:r>
        <w:t>Лечение герпетического энцефалита – 6 стр.</w:t>
      </w:r>
    </w:p>
    <w:p w:rsidR="00000000" w:rsidRDefault="00682E80">
      <w:pPr>
        <w:ind w:firstLine="285"/>
      </w:pPr>
    </w:p>
    <w:p w:rsidR="00682E80" w:rsidRDefault="00682E80">
      <w:pPr>
        <w:ind w:firstLine="285"/>
      </w:pPr>
    </w:p>
    <w:sectPr w:rsidR="00682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80" w:rsidRDefault="00682E80">
      <w:r>
        <w:separator/>
      </w:r>
    </w:p>
  </w:endnote>
  <w:endnote w:type="continuationSeparator" w:id="0">
    <w:p w:rsidR="00682E80" w:rsidRDefault="0068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ot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2E8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682E8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2E8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2CB6"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682E8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80" w:rsidRDefault="00682E80">
      <w:r>
        <w:separator/>
      </w:r>
    </w:p>
  </w:footnote>
  <w:footnote w:type="continuationSeparator" w:id="0">
    <w:p w:rsidR="00682E80" w:rsidRDefault="0068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2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682E8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2E80">
    <w:pPr>
      <w:pStyle w:val="a6"/>
      <w:framePr w:wrap="around" w:vAnchor="text" w:hAnchor="margin" w:xAlign="right" w:y="1"/>
      <w:ind w:right="360"/>
      <w:rPr>
        <w:rStyle w:val="a7"/>
      </w:rPr>
    </w:pPr>
  </w:p>
  <w:p w:rsidR="00000000" w:rsidRDefault="00682E80">
    <w:pPr>
      <w:pStyle w:val="a6"/>
      <w:framePr w:wrap="around" w:vAnchor="text" w:hAnchor="margin" w:xAlign="right" w:y="1"/>
      <w:ind w:right="360"/>
      <w:rPr>
        <w:rStyle w:val="a7"/>
      </w:rPr>
    </w:pPr>
  </w:p>
  <w:p w:rsidR="00000000" w:rsidRDefault="00682E80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2E8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309"/>
    <w:multiLevelType w:val="hybridMultilevel"/>
    <w:tmpl w:val="A3047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029CD"/>
    <w:multiLevelType w:val="hybridMultilevel"/>
    <w:tmpl w:val="BDC0EFC4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AEB7FA8"/>
    <w:multiLevelType w:val="hybridMultilevel"/>
    <w:tmpl w:val="33DA9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C1A2B"/>
    <w:multiLevelType w:val="hybridMultilevel"/>
    <w:tmpl w:val="4B4ACBBA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4">
    <w:nsid w:val="0F8B7085"/>
    <w:multiLevelType w:val="hybridMultilevel"/>
    <w:tmpl w:val="4A7E107E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>
    <w:nsid w:val="13833489"/>
    <w:multiLevelType w:val="hybridMultilevel"/>
    <w:tmpl w:val="4AB8FC30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6">
    <w:nsid w:val="15BC110F"/>
    <w:multiLevelType w:val="hybridMultilevel"/>
    <w:tmpl w:val="5770C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11A8D"/>
    <w:multiLevelType w:val="hybridMultilevel"/>
    <w:tmpl w:val="7A7C609A"/>
    <w:lvl w:ilvl="0" w:tplc="902EB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00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C80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AD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8E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AC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C6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6D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E0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702CC"/>
    <w:multiLevelType w:val="hybridMultilevel"/>
    <w:tmpl w:val="F154D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B0798"/>
    <w:multiLevelType w:val="hybridMultilevel"/>
    <w:tmpl w:val="06E6E5C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>
    <w:nsid w:val="23BA46B6"/>
    <w:multiLevelType w:val="hybridMultilevel"/>
    <w:tmpl w:val="EA26540E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1">
    <w:nsid w:val="252A7159"/>
    <w:multiLevelType w:val="hybridMultilevel"/>
    <w:tmpl w:val="EA26540E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284E0405"/>
    <w:multiLevelType w:val="hybridMultilevel"/>
    <w:tmpl w:val="EA26540E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>
    <w:nsid w:val="2CBD1786"/>
    <w:multiLevelType w:val="hybridMultilevel"/>
    <w:tmpl w:val="59C41894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14">
    <w:nsid w:val="2CD700DF"/>
    <w:multiLevelType w:val="hybridMultilevel"/>
    <w:tmpl w:val="46C2D74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>
    <w:nsid w:val="2D026369"/>
    <w:multiLevelType w:val="hybridMultilevel"/>
    <w:tmpl w:val="F96A2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E558E"/>
    <w:multiLevelType w:val="hybridMultilevel"/>
    <w:tmpl w:val="D39CC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4E6EB9"/>
    <w:multiLevelType w:val="hybridMultilevel"/>
    <w:tmpl w:val="E640A170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18">
    <w:nsid w:val="3D5E716E"/>
    <w:multiLevelType w:val="hybridMultilevel"/>
    <w:tmpl w:val="A0C65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FC1219"/>
    <w:multiLevelType w:val="hybridMultilevel"/>
    <w:tmpl w:val="311C6508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0">
    <w:nsid w:val="422305F3"/>
    <w:multiLevelType w:val="hybridMultilevel"/>
    <w:tmpl w:val="D6B6818E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>
    <w:nsid w:val="45272526"/>
    <w:multiLevelType w:val="hybridMultilevel"/>
    <w:tmpl w:val="CC403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626FB7"/>
    <w:multiLevelType w:val="hybridMultilevel"/>
    <w:tmpl w:val="311C650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3">
    <w:nsid w:val="4C731720"/>
    <w:multiLevelType w:val="hybridMultilevel"/>
    <w:tmpl w:val="D77E9E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20117"/>
    <w:multiLevelType w:val="hybridMultilevel"/>
    <w:tmpl w:val="042A3B0A"/>
    <w:lvl w:ilvl="0" w:tplc="44665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90F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B2D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1ABE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3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5A2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C6F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6E2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5A9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8393B"/>
    <w:multiLevelType w:val="hybridMultilevel"/>
    <w:tmpl w:val="39168C56"/>
    <w:lvl w:ilvl="0" w:tplc="D772AE7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>
    <w:nsid w:val="545B72B6"/>
    <w:multiLevelType w:val="hybridMultilevel"/>
    <w:tmpl w:val="0614A7A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7">
    <w:nsid w:val="569C76F7"/>
    <w:multiLevelType w:val="hybridMultilevel"/>
    <w:tmpl w:val="8C12310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8">
    <w:nsid w:val="576048EC"/>
    <w:multiLevelType w:val="hybridMultilevel"/>
    <w:tmpl w:val="AF8AC0D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9">
    <w:nsid w:val="576C0921"/>
    <w:multiLevelType w:val="hybridMultilevel"/>
    <w:tmpl w:val="D6D894C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0">
    <w:nsid w:val="5797797F"/>
    <w:multiLevelType w:val="hybridMultilevel"/>
    <w:tmpl w:val="311C6508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1">
    <w:nsid w:val="5F481DE3"/>
    <w:multiLevelType w:val="hybridMultilevel"/>
    <w:tmpl w:val="AAC037FA"/>
    <w:lvl w:ilvl="0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3"/>
        </w:tabs>
        <w:ind w:left="6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3"/>
        </w:tabs>
        <w:ind w:left="69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3"/>
        </w:tabs>
        <w:ind w:left="7713" w:hanging="360"/>
      </w:pPr>
      <w:rPr>
        <w:rFonts w:ascii="Wingdings" w:hAnsi="Wingdings" w:hint="default"/>
      </w:rPr>
    </w:lvl>
  </w:abstractNum>
  <w:abstractNum w:abstractNumId="32">
    <w:nsid w:val="5FA224B0"/>
    <w:multiLevelType w:val="hybridMultilevel"/>
    <w:tmpl w:val="25601DD4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33">
    <w:nsid w:val="606715D9"/>
    <w:multiLevelType w:val="hybridMultilevel"/>
    <w:tmpl w:val="CD7479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Plotter" w:hAnsi="Plot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Plotter" w:hAnsi="Plot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Plotter" w:hAnsi="Plot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23545A8"/>
    <w:multiLevelType w:val="hybridMultilevel"/>
    <w:tmpl w:val="CD7479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Plotter" w:hAnsi="Plot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Plotter" w:hAnsi="Plot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Plotter" w:hAnsi="Plot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29079B3"/>
    <w:multiLevelType w:val="hybridMultilevel"/>
    <w:tmpl w:val="4A7E107E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6">
    <w:nsid w:val="652B709A"/>
    <w:multiLevelType w:val="hybridMultilevel"/>
    <w:tmpl w:val="EA26540E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7">
    <w:nsid w:val="666F0649"/>
    <w:multiLevelType w:val="hybridMultilevel"/>
    <w:tmpl w:val="311C6508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8">
    <w:nsid w:val="6D4E2A6E"/>
    <w:multiLevelType w:val="hybridMultilevel"/>
    <w:tmpl w:val="EFE0229A"/>
    <w:lvl w:ilvl="0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3"/>
        </w:tabs>
        <w:ind w:left="6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3"/>
        </w:tabs>
        <w:ind w:left="69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3"/>
        </w:tabs>
        <w:ind w:left="7713" w:hanging="360"/>
      </w:pPr>
      <w:rPr>
        <w:rFonts w:ascii="Wingdings" w:hAnsi="Wingdings" w:hint="default"/>
      </w:rPr>
    </w:lvl>
  </w:abstractNum>
  <w:abstractNum w:abstractNumId="39">
    <w:nsid w:val="6F780EAA"/>
    <w:multiLevelType w:val="hybridMultilevel"/>
    <w:tmpl w:val="81B8F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023DAC"/>
    <w:multiLevelType w:val="hybridMultilevel"/>
    <w:tmpl w:val="EA26540E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>
    <w:nsid w:val="70E97120"/>
    <w:multiLevelType w:val="hybridMultilevel"/>
    <w:tmpl w:val="667AAFC2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2">
    <w:nsid w:val="738167B0"/>
    <w:multiLevelType w:val="hybridMultilevel"/>
    <w:tmpl w:val="487E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906475"/>
    <w:multiLevelType w:val="hybridMultilevel"/>
    <w:tmpl w:val="311C650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4">
    <w:nsid w:val="7C8003DB"/>
    <w:multiLevelType w:val="hybridMultilevel"/>
    <w:tmpl w:val="3CE45002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45">
    <w:nsid w:val="7CAA603A"/>
    <w:multiLevelType w:val="hybridMultilevel"/>
    <w:tmpl w:val="9E14D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1B5339"/>
    <w:multiLevelType w:val="hybridMultilevel"/>
    <w:tmpl w:val="311C6508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7">
    <w:nsid w:val="7DFD1D7C"/>
    <w:multiLevelType w:val="hybridMultilevel"/>
    <w:tmpl w:val="9A287D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4"/>
  </w:num>
  <w:num w:numId="2">
    <w:abstractNumId w:val="33"/>
  </w:num>
  <w:num w:numId="3">
    <w:abstractNumId w:val="34"/>
  </w:num>
  <w:num w:numId="4">
    <w:abstractNumId w:val="47"/>
  </w:num>
  <w:num w:numId="5">
    <w:abstractNumId w:val="41"/>
  </w:num>
  <w:num w:numId="6">
    <w:abstractNumId w:val="27"/>
  </w:num>
  <w:num w:numId="7">
    <w:abstractNumId w:val="20"/>
  </w:num>
  <w:num w:numId="8">
    <w:abstractNumId w:val="17"/>
  </w:num>
  <w:num w:numId="9">
    <w:abstractNumId w:val="38"/>
  </w:num>
  <w:num w:numId="10">
    <w:abstractNumId w:val="31"/>
  </w:num>
  <w:num w:numId="11">
    <w:abstractNumId w:val="25"/>
  </w:num>
  <w:num w:numId="12">
    <w:abstractNumId w:val="9"/>
  </w:num>
  <w:num w:numId="13">
    <w:abstractNumId w:val="28"/>
  </w:num>
  <w:num w:numId="14">
    <w:abstractNumId w:val="26"/>
  </w:num>
  <w:num w:numId="15">
    <w:abstractNumId w:val="29"/>
  </w:num>
  <w:num w:numId="16">
    <w:abstractNumId w:val="10"/>
  </w:num>
  <w:num w:numId="17">
    <w:abstractNumId w:val="43"/>
  </w:num>
  <w:num w:numId="18">
    <w:abstractNumId w:val="14"/>
  </w:num>
  <w:num w:numId="19">
    <w:abstractNumId w:val="36"/>
  </w:num>
  <w:num w:numId="20">
    <w:abstractNumId w:val="11"/>
  </w:num>
  <w:num w:numId="21">
    <w:abstractNumId w:val="19"/>
  </w:num>
  <w:num w:numId="22">
    <w:abstractNumId w:val="46"/>
  </w:num>
  <w:num w:numId="23">
    <w:abstractNumId w:val="40"/>
  </w:num>
  <w:num w:numId="24">
    <w:abstractNumId w:val="12"/>
  </w:num>
  <w:num w:numId="25">
    <w:abstractNumId w:val="37"/>
  </w:num>
  <w:num w:numId="26">
    <w:abstractNumId w:val="30"/>
  </w:num>
  <w:num w:numId="27">
    <w:abstractNumId w:val="22"/>
  </w:num>
  <w:num w:numId="28">
    <w:abstractNumId w:val="35"/>
  </w:num>
  <w:num w:numId="29">
    <w:abstractNumId w:val="4"/>
  </w:num>
  <w:num w:numId="30">
    <w:abstractNumId w:val="44"/>
  </w:num>
  <w:num w:numId="31">
    <w:abstractNumId w:val="6"/>
  </w:num>
  <w:num w:numId="32">
    <w:abstractNumId w:val="0"/>
  </w:num>
  <w:num w:numId="33">
    <w:abstractNumId w:val="32"/>
  </w:num>
  <w:num w:numId="34">
    <w:abstractNumId w:val="8"/>
  </w:num>
  <w:num w:numId="35">
    <w:abstractNumId w:val="5"/>
  </w:num>
  <w:num w:numId="36">
    <w:abstractNumId w:val="13"/>
  </w:num>
  <w:num w:numId="37">
    <w:abstractNumId w:val="18"/>
  </w:num>
  <w:num w:numId="38">
    <w:abstractNumId w:val="45"/>
  </w:num>
  <w:num w:numId="39">
    <w:abstractNumId w:val="16"/>
  </w:num>
  <w:num w:numId="40">
    <w:abstractNumId w:val="3"/>
  </w:num>
  <w:num w:numId="41">
    <w:abstractNumId w:val="2"/>
  </w:num>
  <w:num w:numId="42">
    <w:abstractNumId w:val="42"/>
  </w:num>
  <w:num w:numId="43">
    <w:abstractNumId w:val="15"/>
  </w:num>
  <w:num w:numId="44">
    <w:abstractNumId w:val="39"/>
  </w:num>
  <w:num w:numId="45">
    <w:abstractNumId w:val="23"/>
  </w:num>
  <w:num w:numId="46">
    <w:abstractNumId w:val="7"/>
  </w:num>
  <w:num w:numId="47">
    <w:abstractNumId w:val="2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142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B6"/>
    <w:rsid w:val="00682E80"/>
    <w:rsid w:val="00B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pPr>
      <w:keepNext/>
      <w:framePr w:hSpace="180" w:wrap="around" w:vAnchor="text" w:hAnchor="page" w:x="2098" w:y="691"/>
      <w:suppressLineNumbers/>
      <w:tabs>
        <w:tab w:val="left" w:pos="0"/>
      </w:tabs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framePr w:w="9930" w:h="12660" w:hSpace="180" w:wrap="around" w:vAnchor="text" w:hAnchor="page" w:x="1687" w:y="511"/>
      <w:suppressLineNumbers/>
      <w:tabs>
        <w:tab w:val="left" w:pos="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suppressLineNumbers/>
      <w:tabs>
        <w:tab w:val="left" w:pos="0"/>
      </w:tabs>
      <w:spacing w:line="360" w:lineRule="auto"/>
      <w:ind w:left="570"/>
      <w:outlineLvl w:val="8"/>
    </w:pPr>
    <w:rPr>
      <w:i/>
      <w:i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10">
    <w:name w:val="toc 1"/>
    <w:basedOn w:val="a"/>
    <w:next w:val="a"/>
    <w:autoRedefine/>
    <w:semiHidden/>
    <w:pPr>
      <w:ind w:firstLine="285"/>
      <w:jc w:val="both"/>
    </w:pPr>
  </w:style>
  <w:style w:type="paragraph" w:styleId="20">
    <w:name w:val="toc 2"/>
    <w:basedOn w:val="a"/>
    <w:next w:val="a"/>
    <w:autoRedefine/>
    <w:semiHidden/>
    <w:pPr>
      <w:ind w:firstLine="456"/>
    </w:pPr>
    <w:rPr>
      <w:sz w:val="32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center"/>
    </w:pPr>
  </w:style>
  <w:style w:type="paragraph" w:styleId="a9">
    <w:name w:val="Body Text"/>
    <w:basedOn w:val="a"/>
    <w:semiHidden/>
    <w:pPr>
      <w:jc w:val="center"/>
    </w:pPr>
    <w:rPr>
      <w:sz w:val="28"/>
    </w:rPr>
  </w:style>
  <w:style w:type="paragraph" w:styleId="aa">
    <w:name w:val="Body Text Indent"/>
    <w:basedOn w:val="a"/>
    <w:semiHidden/>
    <w:pPr>
      <w:tabs>
        <w:tab w:val="left" w:pos="709"/>
      </w:tabs>
      <w:ind w:firstLine="709"/>
      <w:jc w:val="both"/>
    </w:pPr>
    <w:rPr>
      <w:sz w:val="28"/>
    </w:rPr>
  </w:style>
  <w:style w:type="paragraph" w:styleId="21">
    <w:name w:val="Body Text 2"/>
    <w:basedOn w:val="a"/>
    <w:semiHidden/>
    <w:pPr>
      <w:framePr w:hSpace="180" w:wrap="around" w:vAnchor="text" w:hAnchor="margin" w:y="211"/>
      <w:tabs>
        <w:tab w:val="left" w:pos="720"/>
      </w:tabs>
    </w:pPr>
    <w:rPr>
      <w:sz w:val="28"/>
      <w:szCs w:val="28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22">
    <w:name w:val="index 2"/>
    <w:basedOn w:val="a"/>
    <w:next w:val="a"/>
    <w:autoRedefine/>
    <w:semiHidden/>
    <w:pPr>
      <w:ind w:left="480" w:hanging="240"/>
    </w:pPr>
  </w:style>
  <w:style w:type="paragraph" w:styleId="32">
    <w:name w:val="index 3"/>
    <w:basedOn w:val="a"/>
    <w:next w:val="a"/>
    <w:autoRedefine/>
    <w:semiHidden/>
    <w:pPr>
      <w:ind w:left="720" w:hanging="240"/>
    </w:pPr>
  </w:style>
  <w:style w:type="paragraph" w:styleId="41">
    <w:name w:val="index 4"/>
    <w:basedOn w:val="a"/>
    <w:next w:val="a"/>
    <w:autoRedefine/>
    <w:semiHidden/>
    <w:pPr>
      <w:ind w:left="960" w:hanging="240"/>
    </w:pPr>
  </w:style>
  <w:style w:type="paragraph" w:styleId="51">
    <w:name w:val="index 5"/>
    <w:basedOn w:val="a"/>
    <w:next w:val="a"/>
    <w:autoRedefine/>
    <w:semiHidden/>
    <w:pPr>
      <w:ind w:left="1200" w:hanging="240"/>
    </w:pPr>
  </w:style>
  <w:style w:type="paragraph" w:styleId="61">
    <w:name w:val="index 6"/>
    <w:basedOn w:val="a"/>
    <w:next w:val="a"/>
    <w:autoRedefine/>
    <w:semiHidden/>
    <w:pPr>
      <w:ind w:left="1440" w:hanging="240"/>
    </w:pPr>
  </w:style>
  <w:style w:type="paragraph" w:styleId="71">
    <w:name w:val="index 7"/>
    <w:basedOn w:val="a"/>
    <w:next w:val="a"/>
    <w:autoRedefine/>
    <w:semiHidden/>
    <w:pPr>
      <w:ind w:left="1680" w:hanging="240"/>
    </w:pPr>
  </w:style>
  <w:style w:type="paragraph" w:styleId="81">
    <w:name w:val="index 8"/>
    <w:basedOn w:val="a"/>
    <w:next w:val="a"/>
    <w:autoRedefine/>
    <w:semiHidden/>
    <w:pPr>
      <w:ind w:left="1920" w:hanging="240"/>
    </w:pPr>
  </w:style>
  <w:style w:type="paragraph" w:styleId="91">
    <w:name w:val="index 9"/>
    <w:basedOn w:val="a"/>
    <w:next w:val="a"/>
    <w:autoRedefine/>
    <w:semiHidden/>
    <w:pPr>
      <w:ind w:left="2160" w:hanging="240"/>
    </w:pPr>
  </w:style>
  <w:style w:type="paragraph" w:styleId="ab">
    <w:name w:val="index heading"/>
    <w:basedOn w:val="a"/>
    <w:next w:val="11"/>
    <w:semiHidden/>
  </w:style>
  <w:style w:type="paragraph" w:styleId="ac">
    <w:name w:val="Title"/>
    <w:basedOn w:val="a"/>
    <w:qFormat/>
    <w:pPr>
      <w:jc w:val="center"/>
    </w:pPr>
    <w:rPr>
      <w:b/>
      <w:bCs/>
      <w:sz w:val="28"/>
    </w:rPr>
  </w:style>
  <w:style w:type="paragraph" w:styleId="23">
    <w:name w:val="Body Text Indent 2"/>
    <w:basedOn w:val="a"/>
    <w:semiHidden/>
    <w:pPr>
      <w:suppressLineNumbers/>
      <w:tabs>
        <w:tab w:val="left" w:pos="0"/>
      </w:tabs>
      <w:spacing w:line="360" w:lineRule="auto"/>
      <w:ind w:firstLine="570"/>
      <w:jc w:val="both"/>
    </w:pPr>
    <w:rPr>
      <w:sz w:val="28"/>
    </w:rPr>
  </w:style>
  <w:style w:type="paragraph" w:styleId="33">
    <w:name w:val="Body Text Indent 3"/>
    <w:basedOn w:val="a"/>
    <w:semiHidden/>
    <w:pPr>
      <w:ind w:firstLine="627"/>
    </w:pPr>
    <w:rPr>
      <w:sz w:val="28"/>
    </w:rPr>
  </w:style>
  <w:style w:type="paragraph" w:styleId="ad">
    <w:name w:val="caption"/>
    <w:basedOn w:val="a"/>
    <w:next w:val="a"/>
    <w:qFormat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pPr>
      <w:keepNext/>
      <w:framePr w:hSpace="180" w:wrap="around" w:vAnchor="text" w:hAnchor="page" w:x="2098" w:y="691"/>
      <w:suppressLineNumbers/>
      <w:tabs>
        <w:tab w:val="left" w:pos="0"/>
      </w:tabs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framePr w:w="9930" w:h="12660" w:hSpace="180" w:wrap="around" w:vAnchor="text" w:hAnchor="page" w:x="1687" w:y="511"/>
      <w:suppressLineNumbers/>
      <w:tabs>
        <w:tab w:val="left" w:pos="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suppressLineNumbers/>
      <w:tabs>
        <w:tab w:val="left" w:pos="0"/>
      </w:tabs>
      <w:spacing w:line="360" w:lineRule="auto"/>
      <w:ind w:left="570"/>
      <w:outlineLvl w:val="8"/>
    </w:pPr>
    <w:rPr>
      <w:i/>
      <w:i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10">
    <w:name w:val="toc 1"/>
    <w:basedOn w:val="a"/>
    <w:next w:val="a"/>
    <w:autoRedefine/>
    <w:semiHidden/>
    <w:pPr>
      <w:ind w:firstLine="285"/>
      <w:jc w:val="both"/>
    </w:pPr>
  </w:style>
  <w:style w:type="paragraph" w:styleId="20">
    <w:name w:val="toc 2"/>
    <w:basedOn w:val="a"/>
    <w:next w:val="a"/>
    <w:autoRedefine/>
    <w:semiHidden/>
    <w:pPr>
      <w:ind w:firstLine="456"/>
    </w:pPr>
    <w:rPr>
      <w:sz w:val="32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center"/>
    </w:pPr>
  </w:style>
  <w:style w:type="paragraph" w:styleId="a9">
    <w:name w:val="Body Text"/>
    <w:basedOn w:val="a"/>
    <w:semiHidden/>
    <w:pPr>
      <w:jc w:val="center"/>
    </w:pPr>
    <w:rPr>
      <w:sz w:val="28"/>
    </w:rPr>
  </w:style>
  <w:style w:type="paragraph" w:styleId="aa">
    <w:name w:val="Body Text Indent"/>
    <w:basedOn w:val="a"/>
    <w:semiHidden/>
    <w:pPr>
      <w:tabs>
        <w:tab w:val="left" w:pos="709"/>
      </w:tabs>
      <w:ind w:firstLine="709"/>
      <w:jc w:val="both"/>
    </w:pPr>
    <w:rPr>
      <w:sz w:val="28"/>
    </w:rPr>
  </w:style>
  <w:style w:type="paragraph" w:styleId="21">
    <w:name w:val="Body Text 2"/>
    <w:basedOn w:val="a"/>
    <w:semiHidden/>
    <w:pPr>
      <w:framePr w:hSpace="180" w:wrap="around" w:vAnchor="text" w:hAnchor="margin" w:y="211"/>
      <w:tabs>
        <w:tab w:val="left" w:pos="720"/>
      </w:tabs>
    </w:pPr>
    <w:rPr>
      <w:sz w:val="28"/>
      <w:szCs w:val="28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22">
    <w:name w:val="index 2"/>
    <w:basedOn w:val="a"/>
    <w:next w:val="a"/>
    <w:autoRedefine/>
    <w:semiHidden/>
    <w:pPr>
      <w:ind w:left="480" w:hanging="240"/>
    </w:pPr>
  </w:style>
  <w:style w:type="paragraph" w:styleId="32">
    <w:name w:val="index 3"/>
    <w:basedOn w:val="a"/>
    <w:next w:val="a"/>
    <w:autoRedefine/>
    <w:semiHidden/>
    <w:pPr>
      <w:ind w:left="720" w:hanging="240"/>
    </w:pPr>
  </w:style>
  <w:style w:type="paragraph" w:styleId="41">
    <w:name w:val="index 4"/>
    <w:basedOn w:val="a"/>
    <w:next w:val="a"/>
    <w:autoRedefine/>
    <w:semiHidden/>
    <w:pPr>
      <w:ind w:left="960" w:hanging="240"/>
    </w:pPr>
  </w:style>
  <w:style w:type="paragraph" w:styleId="51">
    <w:name w:val="index 5"/>
    <w:basedOn w:val="a"/>
    <w:next w:val="a"/>
    <w:autoRedefine/>
    <w:semiHidden/>
    <w:pPr>
      <w:ind w:left="1200" w:hanging="240"/>
    </w:pPr>
  </w:style>
  <w:style w:type="paragraph" w:styleId="61">
    <w:name w:val="index 6"/>
    <w:basedOn w:val="a"/>
    <w:next w:val="a"/>
    <w:autoRedefine/>
    <w:semiHidden/>
    <w:pPr>
      <w:ind w:left="1440" w:hanging="240"/>
    </w:pPr>
  </w:style>
  <w:style w:type="paragraph" w:styleId="71">
    <w:name w:val="index 7"/>
    <w:basedOn w:val="a"/>
    <w:next w:val="a"/>
    <w:autoRedefine/>
    <w:semiHidden/>
    <w:pPr>
      <w:ind w:left="1680" w:hanging="240"/>
    </w:pPr>
  </w:style>
  <w:style w:type="paragraph" w:styleId="81">
    <w:name w:val="index 8"/>
    <w:basedOn w:val="a"/>
    <w:next w:val="a"/>
    <w:autoRedefine/>
    <w:semiHidden/>
    <w:pPr>
      <w:ind w:left="1920" w:hanging="240"/>
    </w:pPr>
  </w:style>
  <w:style w:type="paragraph" w:styleId="91">
    <w:name w:val="index 9"/>
    <w:basedOn w:val="a"/>
    <w:next w:val="a"/>
    <w:autoRedefine/>
    <w:semiHidden/>
    <w:pPr>
      <w:ind w:left="2160" w:hanging="240"/>
    </w:pPr>
  </w:style>
  <w:style w:type="paragraph" w:styleId="ab">
    <w:name w:val="index heading"/>
    <w:basedOn w:val="a"/>
    <w:next w:val="11"/>
    <w:semiHidden/>
  </w:style>
  <w:style w:type="paragraph" w:styleId="ac">
    <w:name w:val="Title"/>
    <w:basedOn w:val="a"/>
    <w:qFormat/>
    <w:pPr>
      <w:jc w:val="center"/>
    </w:pPr>
    <w:rPr>
      <w:b/>
      <w:bCs/>
      <w:sz w:val="28"/>
    </w:rPr>
  </w:style>
  <w:style w:type="paragraph" w:styleId="23">
    <w:name w:val="Body Text Indent 2"/>
    <w:basedOn w:val="a"/>
    <w:semiHidden/>
    <w:pPr>
      <w:suppressLineNumbers/>
      <w:tabs>
        <w:tab w:val="left" w:pos="0"/>
      </w:tabs>
      <w:spacing w:line="360" w:lineRule="auto"/>
      <w:ind w:firstLine="570"/>
      <w:jc w:val="both"/>
    </w:pPr>
    <w:rPr>
      <w:sz w:val="28"/>
    </w:rPr>
  </w:style>
  <w:style w:type="paragraph" w:styleId="33">
    <w:name w:val="Body Text Indent 3"/>
    <w:basedOn w:val="a"/>
    <w:semiHidden/>
    <w:pPr>
      <w:ind w:firstLine="627"/>
    </w:pPr>
    <w:rPr>
      <w:sz w:val="28"/>
    </w:rPr>
  </w:style>
  <w:style w:type="paragraph" w:styleId="ad">
    <w:name w:val="caption"/>
    <w:basedOn w:val="a"/>
    <w:next w:val="a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материалам фирмы Graphisoft</vt:lpstr>
    </vt:vector>
  </TitlesOfParts>
  <Company>iaia</Company>
  <LinksUpToDate>false</LinksUpToDate>
  <CharactersWithSpaces>27248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материалам фирмы Graphisoft</dc:title>
  <dc:creator>Пятчина Анастасия</dc:creator>
  <cp:lastModifiedBy>Igor</cp:lastModifiedBy>
  <cp:revision>2</cp:revision>
  <dcterms:created xsi:type="dcterms:W3CDTF">2024-06-22T15:00:00Z</dcterms:created>
  <dcterms:modified xsi:type="dcterms:W3CDTF">2024-06-22T15:00:00Z</dcterms:modified>
</cp:coreProperties>
</file>