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F0" w:rsidRPr="00934055" w:rsidRDefault="00B72CF0">
      <w:pPr>
        <w:pStyle w:val="Normal"/>
        <w:jc w:val="center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ГИГИЕНА ДЕТЕЙ И ПОДРОСТКОВ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1. Методы исследования и оценки состояния здоровья детей и подростков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2. Методы исследования и оценки физического развития детей и подростков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3. Гигиеническая оценка организации физического воспитания в детских учреждениях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4. Гигиенические основы учебно-воспитательного процесса в детских учреждениях.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5. Диагностика готовности детей к обучению в школе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6. Гигиена учебного процесса в общеобразовательной школе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Тема 1. Методы исследования и оценки состояния здоровья детей и подростков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Практическая значимость темы: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По данным ВОЗ (1990) состояние здоровья детей является одной из наиболее актуальных проблем во всем мире. Ее важность во многом обусловлена прогрессирующим ухудшением состояния окружающей среды. Организм ребенка, находящийся в процессе развития, в большей степени подвержен влиянию как благоприятных, так и не благоприятных факторов, более быстро и остро реагирует на изменение окружающей среды. При изучении влияния различных факторов важно определить их комплексы воздействия, а также выяснить каким образом при их комбинации модифицируется влияние каждого фактора. Интегральным результатом воздействия окружающей среды на детское население является уровень и качество здоровья детей. Врач педиатр должен уметь определить эти два показателя, определить состояние здоровья ДиП.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Цель занятия: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1. Усвоить определение понятия, здоровья населения и здоровья индивидуума.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2. Изучить факторы, формирующие здоровье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3. Ознакомиться с показателями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4. Освоить методы медицинского контроля за состоянием здоровья ДиП.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5. Усвоить критерии и группы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6. Научиться комплексной оценки состояния здоровья ДиП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Вопросы теории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1. Определение понятия “здоровье” по ВОЗ.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2. Критерии оценки состояния здоровья индивидуума.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3. Факторы, формирующие здоровье ДиП.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4. Показатели, характеризующие состояние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5. Группы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6. Организация и порядок проведения медосмотров</w:t>
      </w:r>
      <w:r>
        <w:rPr>
          <w:rFonts w:ascii="Arial" w:hAnsi="Arial"/>
          <w:sz w:val="20"/>
        </w:rPr>
        <w:br/>
        <w:t>а) периодичность мед. осмотров</w:t>
      </w:r>
      <w:r>
        <w:rPr>
          <w:rFonts w:ascii="Arial" w:hAnsi="Arial"/>
          <w:sz w:val="20"/>
        </w:rPr>
        <w:br/>
        <w:t>б) этапы мед. осмотров</w:t>
      </w:r>
      <w:r>
        <w:rPr>
          <w:rFonts w:ascii="Arial" w:hAnsi="Arial"/>
          <w:sz w:val="20"/>
        </w:rPr>
        <w:br/>
        <w:t>в) объем мед. исследований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7. Комплексная оценка состояния здоровья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Практические навыки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Студент должен уметь определять группу здоровья и проводить комплексную оценку состояния здоровья ДиП.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lastRenderedPageBreak/>
        <w:t>Литература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1. Гигиена детей и подростков под ред. В. Н. Кардатенко - М. - Медицина - 1980 - с. 41-115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2. Руководство к лабораторным занятиям по гигиене ДиП - под ред. В. Н. Кардашенко - М., Медицина - 1983 - С. 7-51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Задание на самоподготовку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1. На основании литературы и приведенного учебного материала изучитьфакторы, формирующие здоровье ДиП, критерии и группы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2. Освоить мед. контроль за состоянием здоровья ДиП. Овладеть методикой комплексной оценки состояния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Учебный материал для самоподготовки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1. Показатели оценки состояния здоровья, факторы формирования здоровья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Здоровье является критерием --------- взаимоотношений детского организма с окружающей средой. Оно формируется под влиянием сложного комплекса биологических, экологических и социальных факторов.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Поэтому, для гигиенистов наиболее близким по духу является определение здоровья, принятое Уставом ВОЗ “Здоровье - это состояние полного физического, духовного и социального благополучия, характеризующееся динамическим равновесием организма с окружающей средой, а также отсутствием в нем болезней и физических дефектов”.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Здоровье, как мера жизненности, способности организма к оптимальному функционированию, характеризуется в этом случае не только отсутствием клинически выраженной симптоматики болезней, но и отсутствием начальных их проявлений, состояний предболезни, и так называемой, “малой патологии”, выявляемых часто на уровне функциональных, легко обратимых изменений, свидетельствующих о снижении общей сопротивляемости организма к воздействию неблагоприятных факторов окружающей среды.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Выявляемые по итогам демографических исследований показатели здоровья (заболеваемость, смертность, инвалидность и др.) - это лишь видимая вершина айсберга, подводную часть которого составляют предпатологические (донозологические) состояния, отражающие стадии движения от здоровья к болезни. Изучение этих состояний, как основы определения “уровня” здоровья здорового ребенка является предметом гигиенической диагностики (“гигиенического мониторинга”), изучающей среду, здоровье и связь между ними. Именно здоровье коллектива выступает в этом случае критерием донозологической диагностики, “маркером” отрицательного влияния среды на человека, критерием эффективности всей профилактической работы, проводимой органами санитарно-эпидемиологической службы.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Чтобы приблизить первичную профилактику к основной задаче - увеличению продолжительности жизни людей, гигиеническая диагностика, имея 3 объекта исследования (состояние здоровья, среду обитания, их взаимосвязь), призвана идентифицировать стадии шкалы здоровья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полное здоровье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практическое здоровье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предболезнь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Это необходимо для предотвращения перехода состояний в различные заболевания.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Взаимодействие гигиенической диагностики и диспансеризации должно осуществляться в 4 этапа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1 этап - изучение экологической ситуации, условий жизнедеятельности, образа жизни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2 этап - медицинское обследование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lastRenderedPageBreak/>
        <w:t xml:space="preserve">3 этап - оздоровительные мероприятия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4 этап - динамическое диспансерное наблюдение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Всесторонняя оценка характера развития и состояния здоровья ребенка требует обязательного учета физического и нервно-психического развития, степени и гармоничности полноценности функционального состояния его организма.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Наличие методов диагностики предпатологических (донозологических) состояний, количественная оценка глубины и степени обратимости этих процессов, могут стать научной основой таких профилактических мер, которые будут соответствовать задачам первичной и вторичной профилактики. Исходя из этого, профилактика становится направленной не на предупреждение конкретных заболеваний, а на снижение вероятности их развития в целом. Выделяют следующие факторы влияющие на состояние здоровья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Схема 1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Факторы, формирующие здоровье детского населения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</w:tblGrid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Социально экономические условия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Окружающая среда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Наследственность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физическое воспитание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00727A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18415</wp:posOffset>
                      </wp:positionV>
                      <wp:extent cx="1463040" cy="0"/>
                      <wp:effectExtent l="0" t="0" r="0" b="0"/>
                      <wp:wrapTopAndBottom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1.45pt" to="209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h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ZPp+mO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" o:allowincell="f">
                      <w10:wrap type="topAndBottom"/>
                    </v:line>
                  </w:pict>
                </mc:Fallback>
              </mc:AlternateContent>
            </w:r>
            <w:r w:rsidR="00B72CF0">
              <w:rPr>
                <w:sz w:val="20"/>
              </w:rPr>
              <w:t>Условия быта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Состояние здоровья детского населения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смертность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заболеваемость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инвалидность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физ. развитие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Режим дня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00727A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154305</wp:posOffset>
                      </wp:positionV>
                      <wp:extent cx="1463040" cy="0"/>
                      <wp:effectExtent l="0" t="0" r="0" b="0"/>
                      <wp:wrapTopAndBottom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12.15pt" to="20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k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57Cn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" o:allowincell="f"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Условия обучения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Медико-санитарная помощь </w:t>
            </w:r>
          </w:p>
        </w:tc>
        <w:tc>
          <w:tcPr>
            <w:tcW w:w="2205" w:type="dxa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</w:p>
        </w:tc>
      </w:tr>
    </w:tbl>
    <w:p w:rsidR="00B72CF0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Необходимо обратить внимание на роль таких факторов, влияющих на формирование здоровья, как биологический (возраст матери, состояние ее здоровья, длина тела, число родов, масса ребенка при рождении, наличие отклонений в акте - ---------- - и раннем постнатальном периодах и др. 0 и социальных (площадь квартиры, подушевой доход, образование родителей, общественное и семейное воспитание ребенка, режим дня в т. ч. продолжительность сна и пребывание на открытом воздухе).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2. Медицинский контроль за состоянием здоровья детей.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Одной из важнейших задач врача-педиатра является контроль за формированием и динамикой состояния здоровья ДиП.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Контроль за динамикой состояния здоровья регламентируется приказом МЗ РФ от 14. 03. 95 № 60 “Об утверждении инструкции по проведению профилактических осмотров детей дошкольного и школьного возрастов на основе медико-экономических нормативов”.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lastRenderedPageBreak/>
        <w:t>Контроль за состоянием здоровья в настоящее время проводится на основе массовых скрининг-тестов и представляет собой новый принцип организации углубленных осмотров детей и подростков. Он проводится в несколько этапов: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1 этап - обследование всех детей по скрининг-программе, которое проводится в основном медицинской сестрой детского учреждения;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2 этап - обследование детей, выполненных по скрининг-тестам, врачом детского учреждения;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3 этап - обследование узкими специалистами поликлиники детей, направленных из дошкольного учреждения (школы) на консультацию.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Данный принцип организации медосмотра обеспечивает значительное повышение роли среднего мед. персонала детского учреждения в контроле за состоянием здоровья детей, а также обеспечивает рациональное использование рабочего времени врачей и узких специалистов при дифференцированном контроле за состоянием здоровья детей.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Скрининг-программа включает в себя: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1. Анкетный тест - опрос родителей или учащихся с помощью специальной анкеты. Опрос направлен на выявление анамнестических данных и жалоб, характерных для изменений в нервной, сердечно-сосудистой, пищеварительной, мочевыделительной системах, а также типичных для заболеваний носоглотки и аллергических заболеваний и состояний (приложение 1).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 данной анкете в виде простых вопросов сгруппированы основные “ключевые” жалобы, возникающие у детей и подростков при наличии отклонений в состоянии здоровья по ведущим системам. При обследовании дошкольников и учащихся 1-4 классов анкету заполняют родители, с 5 класса - сами учащиеся.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Вопросы направлены на выявление возможной патологии со стороны нервной системы - возможной патологии со стороны сердечно-сосудистой системы, - со стороны носоглотки, - органов пищеварения, - почек, - аллергии.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Результаты анкетного опроса обобщаются медсестрой, которая отмечает знаком (+) номера вопросов, на которые получен положительный ответ. После этого врач детского учреждения анализирует результаты опроса и отбирает детей, нуждающихся в обследовании, и после их осмотра решает вопрос о необходимости консультации узких специалистов для дополнительных обследований.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2. Индивидуальная оценка физического развития по шкалам регрессии.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3. Измерение артериального давления (у учащихся младших классов - с учетом возрастных поправок на стандартную манжетку) для выявления гипертонических и гипотонических состояний.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Объективизация значений артериального давления у детей 8-12 лет достигается только при использовании “возрастных” манжеток или дополнительных расчетов с поправкой на размер окружности плеча каждого ребенка, которая тесно коррелирует с массой тела. Величины поправок, стандартизованные на базе индивидуальной оценки физического развития детей, приведены в таблице: </w:t>
      </w: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Поправки (в мм рт. ст.) к цифрам систолического* давления, полученного при измерении стандартной манжеткой (для детей 8-12 лет с разной массой тела)</w:t>
      </w: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</w:p>
    <w:p w:rsidR="00B72CF0" w:rsidRPr="0013356C" w:rsidRDefault="00B72CF0" w:rsidP="0013356C">
      <w:pPr>
        <w:pStyle w:val="Normal"/>
        <w:ind w:firstLine="709"/>
        <w:jc w:val="both"/>
        <w:rPr>
          <w:rFonts w:ascii="Arial" w:hAnsi="Arial"/>
          <w:sz w:val="20"/>
        </w:rPr>
      </w:pPr>
    </w:p>
    <w:p w:rsidR="00B72CF0" w:rsidRPr="0013356C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Таблица 1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605"/>
        <w:gridCol w:w="1605"/>
        <w:gridCol w:w="1605"/>
      </w:tblGrid>
      <w:tr w:rsidR="00934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Возраст (в годах)</w:t>
            </w:r>
          </w:p>
        </w:tc>
        <w:tc>
          <w:tcPr>
            <w:tcW w:w="481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Масса тела по отношению к стандарту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+ 10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13**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72CF0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Примечание: * - цифры диастолического давления следует рассматривать без поправок, т. к. различия в значении диастолического давления при изменении стандартной и возрастной манжетками несущественны.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** - у детей 13 лет и старше (независимо от массы тела) истинные цифры артериального давления при изменении стандартной и возрастной манжетками не отличаются.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Артериальное давление измеряется общепринятым способом - сидя, на правой руке, после 10-минутного отдыха, по методу Короткова. Для большей точности рекомендуется 3-х кратное измерение с фиксацией показателей последнего измерения.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Выявление нарушений опорно-двигательного аппарата с помощью комбинированного визуального инструментального исследования.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Тест для выявления нарушений осанки.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Данное тестовое обследование проводится врачом детского учреждения и включает осмотр ребенка с ответом на 10 вопросов тест-карты (таблица 2).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Таблица 2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Тестовая карта для выявления нарушений осанки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695"/>
      </w:tblGrid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1. Явное повреждение органов движения связанное с врожденными пороками, травмой, болезнью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2. Голова, шея отклонены от средней линии: плечи, лопатки, бедра установлены несимметрично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Грудная клетка “сапожника”, “деформированная”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4. Чрезмерное уменьшение или увеличение физиологической кривизны позвоночника: шейного лордоза, грудного кифоза, поясничного лордоза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5. Чрезмерное отставание лопаток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6. Чрезмерное выпячивание живота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Нарушение осей нижних конечностей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(О-образное, Х-образное) 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8. Неравенство треугольников талии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9. Вальгусное положение пятки или обеих пяток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10. Явное отклонение в походке</w:t>
            </w:r>
          </w:p>
        </w:tc>
        <w:tc>
          <w:tcPr>
            <w:tcW w:w="16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Да Нет</w:t>
            </w:r>
          </w:p>
        </w:tc>
      </w:tr>
    </w:tbl>
    <w:p w:rsidR="00B72CF0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Обследование проводится в следующем порядке: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Осмотр в фас. Положение - руки вдоль туловища. Определяются форма ног, положение головы, шеи, симметрия плеч, равенство треугольников талии (треугольник талии - это просвет треугольной формы между внутренней поверхностью рук и туловищем, с вершиной треугольника на уровне талии, в норме треугольники должны быть одинаковыми по форме и равными по величине).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Осмотр сбоку. Положение - руки вдоль туловища. Определяются форма грудной клетки, живота, выступление лопаток, форма спины.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Осмотр со спины. Положение - руки вдоль туловища. Определяются симметрия углов лопаток, форма позвоночника, форма ног, ось пяток (вальгусная, варусная, нормальная).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 конце обследования ребенку предлагается сделать несколько шагов для выявления возможных нарушений в походке.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В процессе проводимого осмотра заполняется тестовая карта, по которой дается оценка выявленных нарушений осанки: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· нормальная оценка - отрицательные ответы на все вопросы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· некоторые отклонения требующие наблюдения школьно-дошкольного педиатра - положительные ответы на один или несколько вопросов от 3-х до 7 номера включительно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· значительное нарушение осанки - положительные ответы на 1, 2, 8, 9, 10 вопросы (один или несколько). Дети, отнесенные к данной группе подлежат обязательному направлению к ортопеду.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i/>
          <w:sz w:val="20"/>
        </w:rPr>
        <w:t xml:space="preserve">Тест для выявления истинного сколиоза.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К истинным сколиозам относятся только те, которые сопровождаются торсией, или поворотом позвоночника относительно оси, при которой остистые отростки позвонков уклоняются в ту или иную сторону от средней полоски, образуя выпуклость, видимую при наклоне туловища.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Основным приемом для выявления истинного сколиоза считается осмотр со сгибанием позвоночника и наклоном туловища вперед: наклон туловища проводится медленно, при этом руки свободно свисают вниз, ноги выпрямлены. При наличии сколиоза определяется асимметричное реберное выбухание в грудном отделе и мышечный валик в поясничном отделе.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Для более точного выявления торсии позвонков осмотр следует проводить в двух положениях: спереди и сзади.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При осмотре сзади (ребенок стоит спиной к врачу), наклоняя туловище ребенка от себя, можно выявить торсию позвоночников в грудопоясничном отделах позвоночника.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Тест для выявления плоскостопия - плантография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i/>
          <w:sz w:val="20"/>
        </w:rPr>
        <w:t>Выявление предмиопии с помощью теста А. А. Малиновского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Данный тест применяется у дошкольников в возрасте 6 лет и учащихся 11-х классов.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Обычно обследование остроты зрения, осуществляемое по специальным диагностическим таблицам Сивцева-Головина, выявляет в основном наличие уже развившейся патологии зрения. Тест А. А. Малиновского позволяет выявить детей с предрасположенностью к миопии.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lastRenderedPageBreak/>
        <w:t xml:space="preserve">Выявление предмиопии с помощью теста А. А. Малиновского включает 2 исследовательских этапа.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· определение остроты зрения (по общепринятой методике)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· выявление детей с предмиопией среди контингента с нормальной остротой зрения.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Методика обследования: после определения обычным способом остроты зрения, к глазу ребенка с нормальной остротой подносится линза, сила которой соответствует средней рефракции глаз для детей данного возраста, и вновь определяется острота зрения (общепринятым способом по буквенным таблицам, ребенок сидит на стуле на расстоянии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Arial" w:hAnsi="Arial"/>
            <w:sz w:val="20"/>
          </w:rPr>
          <w:t>5 м</w:t>
        </w:r>
      </w:smartTag>
      <w:r>
        <w:rPr>
          <w:rFonts w:ascii="Arial" w:hAnsi="Arial"/>
          <w:sz w:val="20"/>
        </w:rPr>
        <w:t xml:space="preserve"> от таблицы (каждый глаз обследуется раздельно, при закрытом щитком другом глазе. Для тестирования используют линзы + 1,0 Д в детской оправе, с расстоянием между оптическими осями глаз 56-</w:t>
      </w:r>
      <w:smartTag w:uri="urn:schemas-microsoft-com:office:smarttags" w:element="metricconverter">
        <w:smartTagPr>
          <w:attr w:name="ProductID" w:val="58 мм"/>
        </w:smartTagPr>
        <w:r>
          <w:rPr>
            <w:rFonts w:ascii="Arial" w:hAnsi="Arial"/>
            <w:sz w:val="20"/>
          </w:rPr>
          <w:t>58 мм</w:t>
        </w:r>
      </w:smartTag>
      <w:r>
        <w:rPr>
          <w:rFonts w:ascii="Arial" w:hAnsi="Arial"/>
          <w:sz w:val="20"/>
        </w:rPr>
        <w:t xml:space="preserve">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Оценка результатов: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t ребенок, глядя через линзу, читает правильно 9-10 строчку таблицы - тест отрицательный (нормальная возрастная рефракция);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t ребенок, глядя через линзу, не может правильно прочитать буквы 9-10 строчки или вообще их различить - тест положительный (усиление возрастной рефракции - предмиопическое состояние)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Дети с предмиопией рассматриваются как “группа риска” по миопии, т. к. у них в 80 раз чаще, чем у остальных, развивается миопия. Эти дети должны направляться к офтальмологу для особого наблюдения и периодического контроля. Обследование тестом Малиновского проводит медсестра детского учреждения. Детям с отрицательным тестом Малиновского исследование остроты зрения в школе можно проводить 1 раз в 3 года, т. е. в 4-7-10 классах.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i/>
          <w:sz w:val="20"/>
        </w:rPr>
        <w:t xml:space="preserve">Тест для выявления нарушений цветового зрения (для школьников).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Нарушения цветоощущения играет роль при выборе профессии (шофер, аппаратчик и др.), причем, имея зачастую наследственный характер, чаще выявляются у мальчиков.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Для исследования цветового зрения используются специальные полихроматические таблицы Рабкина. В этих таблицах из кружков различных цветов, но одинаковых различают лица с нормальным цветовым зрением.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Для использования используются только I-XIII полихроматические таблицы (первая серия - основная). Исследование проводится при естественном освещении (обследуемый сидит спиной к окну, исследователь - лицом к окну). Таблицы предъявляются вертикально с расстояния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/>
            <w:sz w:val="20"/>
          </w:rPr>
          <w:t>1 м</w:t>
        </w:r>
      </w:smartTag>
      <w:r>
        <w:rPr>
          <w:rFonts w:ascii="Arial" w:hAnsi="Arial"/>
          <w:sz w:val="20"/>
        </w:rPr>
        <w:t xml:space="preserve"> по 5-6 сек. каждая.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Оценка результатов: неправильное различие даже отдельных таблиц - аномалия цветового зрения. Школьник направляется на консультацию к офтальмологу.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Исследование цветового зрения проводится в 4-м классе школы в преддверии профориентационного выбора.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i/>
          <w:sz w:val="20"/>
        </w:rPr>
        <w:t xml:space="preserve">Лабораторные скрининг-тесты для выявления скрининг-протеинурии и глюкозурии.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Белок и глюкоза в моче определяются медсестрой детского учреждения с помощью специальных диагностических реактивных полосок, по изменению окраски которых судят о наличии и даже ориентировочной концентрации их в моче.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Все дети со следами белка в моче направляются на дополнительное обследование для выявления причин протеинурии, а со следами глюкозы в моче на консультацию к эндокринологу.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Повышение качества и информативности медосмотров достигается также предварительным проведением всем детям лабораторных исследований: общего анализа крови и кала на яйца глистов (не более, чем за 2-3 недели до осмотра), но на сегодняшний день эти рекомендации носят лишь пожелательный характер.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 программу медосмотров школьников включается функциональная проба сердечно-сосудистой системы с нагрузкой для определения степени ее тренированности и возможной нагрузки при занятиях </w:t>
      </w:r>
      <w:r>
        <w:rPr>
          <w:rFonts w:ascii="Arial" w:hAnsi="Arial"/>
          <w:sz w:val="20"/>
        </w:rPr>
        <w:lastRenderedPageBreak/>
        <w:t xml:space="preserve">физической культурой и спортом. Детям 8-10 лет с виде нагрузки предлагается 20 приседаний, 10-11 лет 25 приседаний, мальчикам 12-14 лет - 30 приседаний за 30 секунд.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 зависимости от характера сдвигов после функциональных проб различают благоприятную и неблагоприятную реакцию сердечно-сосудистой системы.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Благоприятной реакцией считается учащение пульса в пределах 50-70% от исходного уровня, увеличение систолического давления на 10-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Arial" w:hAnsi="Arial"/>
            <w:sz w:val="20"/>
          </w:rPr>
          <w:t>15 мм</w:t>
        </w:r>
      </w:smartTag>
      <w:r>
        <w:rPr>
          <w:rFonts w:ascii="Arial" w:hAnsi="Arial"/>
          <w:sz w:val="20"/>
        </w:rPr>
        <w:t>, умеренное увеличение пульсового давления на 20-</w:t>
      </w:r>
      <w:smartTag w:uri="urn:schemas-microsoft-com:office:smarttags" w:element="metricconverter">
        <w:smartTagPr>
          <w:attr w:name="ProductID" w:val="35 мм"/>
        </w:smartTagPr>
        <w:r>
          <w:rPr>
            <w:rFonts w:ascii="Arial" w:hAnsi="Arial"/>
            <w:sz w:val="20"/>
          </w:rPr>
          <w:t>35 мм</w:t>
        </w:r>
      </w:smartTag>
      <w:r>
        <w:rPr>
          <w:rFonts w:ascii="Arial" w:hAnsi="Arial"/>
          <w:sz w:val="20"/>
        </w:rPr>
        <w:t xml:space="preserve"> и восстановление всех показателей в течении 2-3 минут.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Неблагоприятной реакцией считается значительное (более 70%) учащение пульса, уменьшение систолического и пульсового давления по сравнению с исходным уровнем, либо резкое увеличение систолического давления (на 25-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Arial" w:hAnsi="Arial"/>
            <w:sz w:val="20"/>
          </w:rPr>
          <w:t>40 мм</w:t>
        </w:r>
      </w:smartTag>
      <w:r>
        <w:rPr>
          <w:rFonts w:ascii="Arial" w:hAnsi="Arial"/>
          <w:sz w:val="20"/>
        </w:rPr>
        <w:t xml:space="preserve"> и более) на фоне повышения диастолического, при замедленном восстановительном периоде. Снижение частоты пульса и систолического давления в период восстановления (2-3 мин. ) ниже исходных данных, также рассматривается как неблагоприятная реакция.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3. Комплексная оценка состояния здоровья детей и подростков. Критерии и группы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Комплексная оценка состояния здоровья детей введена приказом МЗ РФ № 60 от 19 января 1983 “О дальнейшем совершенствовании амбулаторно-поликлинической помощи детскому населению в городах”, дается на основании учета результатов медицинского осмотра и текущего наблюдения за ребенком, путем анализа 4-х основных критериев здоровья: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наличие или отсутствие в момент обследования хронических заболеваний и степень их клинических проявлений;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функциональное состояние основных органов и систем: сердечно-сосудистой, дыхательной, кровеносной, нервной и др. ;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резистентность организма, проявляющаяся количеством и длительностью заболеваний по обращаемости за предыдущий ко времени медосмотра год;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уровень физического и нервно-психического развития и степень их гармоничности.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В соответствии с указанными критериями, у каждого индивидуума определяется группа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Таблица 3.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Распределение обследуемых по группам здоровья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386"/>
        <w:gridCol w:w="2551"/>
        <w:gridCol w:w="1920"/>
        <w:gridCol w:w="1908"/>
      </w:tblGrid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Группа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Хроническая патология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Функциональное состояние основных систем и органов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Резистентность и реактивность организма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Физическое и нервно-психическое развитие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Без отклонений.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Единичный кариес зубов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Острые заболевания за предшествовавший наблюдению период отсутствовали или протекали эпизодически, легко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Хорошее (нормальное), гармоничное физическое развитие. Нервно-психический статус соответствует возрасту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Наличие функциональных отклонений (пониженное содержание гемоглобина, гипертонические и гипотонические реакции и т. д.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Кариес зубов - субкомпенсированная форма, аномалия прикуса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Заболеваемость частые и продолжительные острые заболевания с последующим затяжным реконвалесцентным периодом – вялость, </w:t>
            </w:r>
            <w:r>
              <w:rPr>
                <w:sz w:val="20"/>
              </w:rPr>
              <w:lastRenderedPageBreak/>
              <w:t xml:space="preserve">повышенная возбудимость, нарушение сна и аппетита, субфебрилитет и т. д. 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Нормальное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(1 ст. )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ухудшенное (2 ст. )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плохое (3ст. </w:t>
            </w:r>
            <w:r>
              <w:rPr>
                <w:sz w:val="20"/>
              </w:rPr>
              <w:lastRenderedPageBreak/>
              <w:t>) или общая задержка (4ст)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физ. развитие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нормальное или нерезко выраженное отставание нервно-психического развития. 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Наличие хронической патологии в стадии компенсации, врожденных дефектов развития органов и систем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функциональных отклонений в патологически измененной системе органа без клинических проявлений, функциональных отклонений в др. органах и системах. Кариес зубов - декомпенсированная форма. 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Заболеваемость - редкие, нетяжелые по характеру течения обострение основного хронического заболевания без выраженного ухудшения общего состояния и самочувствия.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Редкие интеркуррентные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Все степени ФР. Нормальное или с нерезко выраженным отстаиванием нервно-психическое развитие нормальное или отстает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Наличие хронической патологии в стадии субкомпенсации врожденных дефектов развития органов и систем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Наличие функциональных отклонений патологически измененного органа, системы и других органов и систем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Заболеваемость - частые обострения основного хронического заболевания редкие и частые острые заболевания с нарушением общего состояния и самочувствия после обострения или с затяжным реконвалесцентным периодом после интеркуррентного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степени физического развития. Нервно-психическое развитие нормальное или отстает 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Наличие тяжелой хронической патологии в стадии декомпенсации или тяжелого врожденного порока, предрешающих инвалидность индивидуума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Резко выраженные или врожденные функциональные отклонения патологически измененного органа, системы, др. органов и систем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Заболеваемость - частые тяжелые обострения основного хронического заболевания, частые острые заболевания</w:t>
            </w:r>
          </w:p>
        </w:tc>
        <w:tc>
          <w:tcPr>
            <w:tcW w:w="19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степени физического развития.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Нервно-психическое развитие нормальное или отстает</w:t>
            </w:r>
          </w:p>
        </w:tc>
      </w:tr>
    </w:tbl>
    <w:p w:rsidR="00B72CF0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Дети I группы здоровья наблюдаются врачом в обычные сроки, установленные для профилактических медосмотров здоровых детей.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lastRenderedPageBreak/>
        <w:t xml:space="preserve">Дети II группы здоровья (“группа риска”) наблюдаются врачом в сроки, устанавливаемые для каждого ребенка, в соответствии со степенью риска в отношении формирования у них хронической патологии, выраженности функциональных отношений и степени резистентности.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Часто болеющие дети, дети, перенесшие острую пневмонию, болезнь Боткина и др. хотя и относятся ко II группе здоровья, в периоде реконвалесценции берутся на диспансерный учет по ф. № 30.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Дети III, IV, V групп берутся на диспансерный учет по ф. № 30 и порядок их медицинского обслуживания определяется специальными методическими указаниями (М. 1968, 1974, Харьков, 1982; Фрунзе, 1985).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По результатам оценки состояния здоровья, уровня физического развития и физической подготовленности, обследуемые лица выделяются в медицинские группы,. регулирующие объем их занятий по курсу физического воспитания. Медицинская характеристика указанных групп приводится в таблице 4. При выведении медицинской группы, врач должен ответить на следующие вопросы: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может ли обследуемый выполнить требования, предъявляемые учебными программами по физическому воспитанию, или ему необходимы ограничения и какие?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- нуждается ли обследуемый в занятиях физическими упражнениями с лечебной целью (корригирующей гимнастикой и т. д. )?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может ли обследуемый заниматься в спортивных секциях, участвовать в тренировочных занятиях и состязаниях, в каких именно и при каких условиях.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Таблица 4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Группы для занятий по курсу физического воспитания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582"/>
        <w:gridCol w:w="3402"/>
      </w:tblGrid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Наименование группы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Допускаемые мероприятия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Медицинская характеристика группы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Занятия по программе физического воспитания в полном объеме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Сдача норм БГТО, ГТО I, ГТО II ступени последовательно.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 в одной из спортивных секций (общей физической подготовки, легкой атлетики, гимнастики и др. ), участие в соревновании по одному виду спорта.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Лица без отклонений в физическом развитии, состоянии здоровья, а также лица с незначительными отклонениями в состоянии здоровья, но с достаточной физической подготовленностью. 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Занятия по программе физического воспитания при условии более постепенного прохождения их с отсрочкой сдачи контрольных испытаний и норм БГТО, ГТО I ступени на срок до 1 года, сдача норм ГТО II ступени с особого разрешения врача. </w:t>
            </w:r>
          </w:p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Занятия в секции общей физической подготовки.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Лица, имеющие незначительные отклонения в физическом развитии и состоянии здоровья без достаточной степени физической подготовленности. </w:t>
            </w:r>
          </w:p>
        </w:tc>
      </w:tr>
      <w:tr w:rsidR="00B7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</w:p>
        </w:tc>
        <w:tc>
          <w:tcPr>
            <w:tcW w:w="3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Занятия по особой программе или по отдельным видам государственных программ, причем срок подготовки удлиняется, а нормативы снижаются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72CF0" w:rsidRDefault="00B72CF0" w:rsidP="0013356C">
            <w:pPr>
              <w:pStyle w:val="Normal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Лица, имеющие значительные отклонения в состоянии здоровья постоянного или временного характера, не мешающие выполнению обычной программы производственной работы, но </w:t>
            </w:r>
            <w:r>
              <w:rPr>
                <w:sz w:val="20"/>
              </w:rPr>
              <w:lastRenderedPageBreak/>
              <w:t xml:space="preserve">являющиеся противопоказанием к занятиям по государственным программам в общих группах. </w:t>
            </w:r>
          </w:p>
        </w:tc>
      </w:tr>
    </w:tbl>
    <w:p w:rsidR="00B72CF0" w:rsidRDefault="00B72CF0" w:rsidP="0013356C">
      <w:pPr>
        <w:pStyle w:val="Normal"/>
        <w:ind w:firstLine="709"/>
        <w:jc w:val="both"/>
        <w:rPr>
          <w:sz w:val="20"/>
        </w:rPr>
      </w:pP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Запрещать занятия по физическому воспитанию врач должен в крайних случаях, когда он сомневается в их пользе и успехе. В зависимости от состояния здоровья ребенка врач после консультации со специалистами назначает конкретные виды упражнений, определяет их продолжительность и осуществляет систематическое наблюдение за реакциями и здоровьем детей.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Самостоятельная работа студентов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Оценка качества самоподготовки студентов по результатам устного или письменного тестирования.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Выполнение рефератов на темы: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Состояние здоровья детей и подростков на современном этапе.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Влияние на состояние здоровья детей социальной среды.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- Влияние на состояние здоровья природных факторов окружающей среды.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Решение ситуационных задач (анализ результатов медицинского осмотра, оценка состояния здоровья, выявление факторов риска, определение группы здоровья, группы для физического воспитания, составление индивидуального комплекса лечебно-оздоровительных мероприятий и т. д.)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Контрольные вопросы по теме: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1. Определение понятия “здоровье индивидуума” и “здоровье населения”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2. Факторы, формирующие здоровье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>3. Показатели и критерии здоровья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4. Медицинский контроль за состоянием здоровья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5. Организация и порядок проведения медицинских осмотров.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6. Комплексная оценка состояния здоровья детей и подростков.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7. Распределение обследуемых по группам здоровья.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8. Группы для занятий по курсу физического воспитания. </w:t>
      </w:r>
    </w:p>
    <w:p w:rsidR="00B72CF0" w:rsidRDefault="00B72CF0" w:rsidP="0013356C">
      <w:pPr>
        <w:pStyle w:val="Normal"/>
        <w:ind w:firstLine="709"/>
        <w:jc w:val="both"/>
        <w:rPr>
          <w:sz w:val="20"/>
        </w:rPr>
      </w:pPr>
      <w:r>
        <w:rPr>
          <w:rFonts w:ascii="Arial" w:hAnsi="Arial"/>
          <w:sz w:val="20"/>
        </w:rPr>
        <w:t xml:space="preserve">©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sz w:val="20"/>
        </w:rPr>
        <w:t>Медицинский Вестник</w:t>
      </w:r>
      <w:r>
        <w:rPr>
          <w:rFonts w:ascii="Arial" w:hAnsi="Arial"/>
          <w:i/>
          <w:sz w:val="20"/>
        </w:rPr>
        <w:t>» № 10</w:t>
      </w:r>
      <w:r>
        <w:rPr>
          <w:rFonts w:ascii="Arial" w:hAnsi="Arial"/>
          <w:sz w:val="20"/>
        </w:rPr>
        <w:t xml:space="preserve">`98 г. </w:t>
      </w:r>
      <w:r>
        <w:rPr>
          <w:rFonts w:ascii="Arial" w:hAnsi="Arial"/>
          <w:i/>
          <w:sz w:val="20"/>
        </w:rPr>
        <w:t>(65)</w:t>
      </w:r>
    </w:p>
    <w:p w:rsidR="00B72CF0" w:rsidRDefault="00B72CF0">
      <w:pPr>
        <w:pStyle w:val="Normal"/>
        <w:jc w:val="center"/>
        <w:rPr>
          <w:sz w:val="20"/>
        </w:rPr>
      </w:pPr>
    </w:p>
    <w:sectPr w:rsidR="00B72CF0" w:rsidSect="0013356C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55"/>
    <w:rsid w:val="0000727A"/>
    <w:rsid w:val="0013356C"/>
    <w:rsid w:val="00934055"/>
    <w:rsid w:val="00AF48E2"/>
    <w:rsid w:val="00B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ГИГИЕНА ДЕТЕЙ И ПОДРОСТКОВ</vt:lpstr>
    </vt:vector>
  </TitlesOfParts>
  <Company/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ДЕТЕЙ И ПОДРОСТКОВ</dc:title>
  <dc:creator>Катя</dc:creator>
  <cp:lastModifiedBy>Igor</cp:lastModifiedBy>
  <cp:revision>2</cp:revision>
  <dcterms:created xsi:type="dcterms:W3CDTF">2024-06-02T06:37:00Z</dcterms:created>
  <dcterms:modified xsi:type="dcterms:W3CDTF">2024-06-02T06:37:00Z</dcterms:modified>
</cp:coreProperties>
</file>