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73" w:rsidRPr="00407473" w:rsidRDefault="00407473" w:rsidP="008F49C3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407473">
        <w:t xml:space="preserve">Гигиена освещения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 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Содержание: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1. ОСНОВНЫЕ СВЕТОТЕХНИЧЕСКИЕ ВЕЛИЧИНЫ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2. ЕСТЕСТВЕННОЕ ОСВЕЩЕНИЕ. НОРМИРОВАНИЕ И РАСЧЕТ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3. ИСКУССТВЕННОЕ ОСВЕЩЕНИЕ НОРМИРОВАНИЕ И РАСЧЕТ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4. АВАРИЙНОЕ ОСВЕЩЕНИЕ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5. СПИСОК ИСПОЛЬЗОВАННОЙ ЛИТЕРАТУЫ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6. СОДЕРЖАНИЕ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 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407473">
        <w:rPr>
          <w:b/>
          <w:bCs/>
        </w:rPr>
        <w:t xml:space="preserve">1. ОСНОВНЫЕ СВЕТОТЕХНИЧЕСКИЕ ВЕЛИЧИНЫ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Рациональное освещение помещении и рабочих мест - один важнейших элементов благоприятных условии труда. При правильном освещении повышается производительность труда, улучшаются условия безопасности, снижается утомляемость. При недостаточном освещении рабочий плохо видит окружающие предметы и плохо ориентируется в производственной обстановке. Успешное выполнение рабочих операций требует от него дополнительных усилий и большого зрительного напряжения. Неправильное и недостаточное освещение может привести к созданию опасных ситуаций. Наилучшие условия для полного зрительного восприятия создает солнечный свет.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Для гигиенической оценки условий труда используются светотехнические единицы, принятые в физике.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Видимое излучение—участок спектра электромагнитных колебаний в диапазоне длины волн от 380 до 770 нанометров (нм), воспринимаемый человеческим глазом.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Световой поток F—мощность лучистой энергии, оцениваемой по сетевому ощущению, воспринимаемому человеческим глазом. За единицу светового потока принят люмен (лм). Световой поток, отнесенный к пространственной единице—телесному углу и, называется силой света: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la =dF/dw,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где la .- сила света под углом w ): df— световой поток, равномерно распределяющий в пределах телесного угла dw 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>За единицу силы света принята кандела (кд). Одна кандела—сила света, испускаемого с поверхности площадью 1/600000 м2 полного излучателя (государственный световой эталон) в перпендикулярном направлении при температуре затвердевания платины (2046,65 К) при давлении 101325 Па (</w:t>
      </w:r>
      <w:smartTag w:uri="urn:schemas-microsoft-com:office:smarttags" w:element="metricconverter">
        <w:smartTagPr>
          <w:attr w:name="ProductID" w:val="760 мм"/>
        </w:smartTagPr>
        <w:r w:rsidRPr="00407473">
          <w:t>760 мм</w:t>
        </w:r>
      </w:smartTag>
      <w:r w:rsidRPr="00407473">
        <w:t xml:space="preserve"> рт. ст.Ф. Освещенность Е — плотность светового потока на освещаемой поверхности. За единицу освещенности принят люкс (лк)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E=dF/dS,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где dS — площадь поверхности, на которую падает световой поток dF.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Яркость поверхности L, а данном направлении—отношение силы света, излучаемого поверхностью в этом направлении, к проекции светящейся поверхности на плоскость, перпендикулярную данному направлению. Единица яркости—кандела на квадратный метр (кд/м </w:t>
      </w:r>
      <w:r w:rsidRPr="00407473">
        <w:rPr>
          <w:vertAlign w:val="superscript"/>
        </w:rPr>
        <w:t xml:space="preserve">2 </w:t>
      </w:r>
      <w:r w:rsidRPr="00407473">
        <w:t xml:space="preserve">)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La =dIa /dSЧ cosa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где dIa —сила света, излучаемого поверхностью dS в направлении a 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Яркость освещенных поверхностей зависит от их световых свойств, от степени освещенности, а в большинстве случаев также от угла, под которым поверхность рассматривается.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Световые свойства поверхностей характеризуются коэффициентами отражения r , пропускания t и поглощения b . Эти коэффициенты безразмерные и измеряются в долях единицы (r +t + +b =1) или в процентах: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407473">
        <w:rPr>
          <w:lang w:val="en-US"/>
        </w:rPr>
        <w:t xml:space="preserve">r =Fr /F; t =Ft /F; b =Fb /F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где Fr , Ft , Fb — соответственно отраженный, поглощенный и прошении через поверхность световой поток F — падающий на поверхность световой поток.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lastRenderedPageBreak/>
        <w:t xml:space="preserve">Требуемый уровень освещенности определяется степенью точности зрительных работ. Для рациональной организации освещения необходимо не только обеспечить достаточную освещенность рабочих поверхностей, но и создать соответствующие качественные показатели освещения. К качественным характеристикам освещения относятся равномерность распределения светового потока, блескость, фон, контраст объекта с фоном и т. д.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Различают прямую блескость, возникшую от ярких источников света и частей светильников, попадающих в поле зрения работающих, и отраженную блескость от поверхностей с зеркальным отражением. Блескость в поле зрения вызывает чрезмерное раздражение и снижает чувствительность и работоспособность глаза. Такое изменение нормальных зрительных функций называется слепимостью.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Слепящее действие зависит не только от блескостти поверхности, направленной к глазу, но и от контракта различения с фоном (К), который определяется отношением абсолютной разности между яркостью объекта и фона к яркости фона: чем он меньше, тем больше ослепленпость.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Контраст объекта различения с фоном (К) считается: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большим—при К&gt;0,5;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средним—при К=0,2—0,5;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малым — при К&lt;0,2.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Чтобы избежать слепящего действия света, необходимо подвешивать лампы на определенной высоте, которую выбирают в зависимости от мощности лампы и защитного угла (угла падения света на рабочее место) с учетом отражающих поверхностей. Для повышения видимости целесообразно увеличить контраст различаемых объектов, что более эффективно и экономично в сравнении с увеличением освещенности рабочей поверхности. При повышении контраста следует учитывать цветность и коэффициенты отражения объектов и фона.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фоном считается поверхность, прилегающая непосредственно к объекту различения, на которой он рассматривается, фон характеризуется способностью отражать световой поток и считается светлым при коэффициенте отражения поверхности r &gt;0,4, средним при r =0,2—0,4 и темным при r &lt;0,2.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Для повышения равномерности распределения яркостей в поле зрения потолки, и стены рекомендуется окрашивать в светлые тона: салатовый, светло-желтый, кремовый, светло-зеленый или бирюзовый.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Производственное оборудование рекомендуется окрашивать в светло-зеленые тона, движущиеся части—светло-желтые, а открытые механизмы в ярко-красный цвет. Для измерения и контроля освещенности применяют люксметры Ю-116 и Ю-117, принцип действия которых основан на фотоэлектрическом эффекте. При освещении фотоэлемента в цепи соединенного с ним гальванометра возникает фототек, обусловливающий отклонение стрелки миллиамперметра, шкалу которого градуируют в люксах. Для использования в люксметрах наиболее пригоден селеновый фотоэлемент, так как его спектральная чувствительность близка к спектральной чувствительности глаза.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Освещенность в диапазоне от 0 до 100 лк измеряется открытым фотоэлементом без насадок. Использование насадок различных типов, имеющих обозначение К, М, Р, Т значительно расширяет диапазон измерений освещенности, который доходит до 100000 лк.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Для измерения яркости используют фотометры, в которых яркость поля прибора сравнивается с яркостью исследуемой поверхности.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Для освещения производственных, служебных, бытовых помещений используют естественный свет и свет от источников искусственного освещения.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407473">
        <w:rPr>
          <w:b/>
          <w:bCs/>
        </w:rPr>
        <w:t xml:space="preserve">2. ЕСТЕСТВЕННОЕ ОСВЕЩЕНИЕ. НОРМИРОВАНИЕ И РАСЧЕТ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Источник естественного (дневного) освещения—солнечная радиация, т. е. поток лучистой энергии солнца, доходящей до земной поверхности в виде прямого и рассеянного света. Естественное освещение является наиболее гигиеничным и предусматривается, как правило, для помещений, в которых постоянно пребывают люди. Если по условиям зрительной работы оно оказывается недостаточным, то используют совмещенное освещение.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lastRenderedPageBreak/>
        <w:t xml:space="preserve">Естественное освещение помещений подразделяется на боковое (через световые проемы в наружных стенах), верхнее (через фонари, световые проемы в покрытии, а также через проемы в стенах перепада высот здания), комбинированное—сочетание верхнего и бокового освещения.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Систему естественного освещения выбирают с учетом следующих факторов: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назначения и принятого архитектурно-планировочного, объемно-пространственного и конструктивного решения зданий;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требований к естественному освещению помещений, вытекающих из особенностей технологической и зрительной работы;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климатических и светоклиматических особенностей места строительства здании;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экономичности естественного освещения.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В зависимости от географической широты, времени года, часа дня и состояния погоды уровень естественного освещения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407473">
        <w:rPr>
          <w:i/>
          <w:iCs/>
        </w:rPr>
        <w:t xml:space="preserve">Таблица 1. Значения коэффициента естественной освещенности для производственных помещений </w:t>
      </w:r>
    </w:p>
    <w:tbl>
      <w:tblPr>
        <w:tblW w:w="834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69"/>
        <w:gridCol w:w="2117"/>
        <w:gridCol w:w="1376"/>
        <w:gridCol w:w="2118"/>
        <w:gridCol w:w="1960"/>
      </w:tblGrid>
      <w:tr w:rsidR="00407473" w:rsidRPr="00407473">
        <w:trPr>
          <w:trHeight w:val="330"/>
          <w:tblCellSpacing w:w="7" w:type="dxa"/>
        </w:trPr>
        <w:tc>
          <w:tcPr>
            <w:tcW w:w="250" w:type="pct"/>
            <w:vMerge w:val="restart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Разряд работ </w:t>
            </w:r>
          </w:p>
        </w:tc>
        <w:tc>
          <w:tcPr>
            <w:tcW w:w="2050" w:type="pct"/>
            <w:gridSpan w:val="2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Характеристика зрительной работы </w:t>
            </w:r>
          </w:p>
        </w:tc>
        <w:tc>
          <w:tcPr>
            <w:tcW w:w="2700" w:type="pct"/>
            <w:gridSpan w:val="2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Значение КЕО </w:t>
            </w:r>
          </w:p>
        </w:tc>
      </w:tr>
      <w:tr w:rsidR="00407473" w:rsidRPr="00407473">
        <w:trPr>
          <w:trHeight w:val="1260"/>
          <w:tblCellSpacing w:w="7" w:type="dxa"/>
        </w:trPr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Виды работы по степени точности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наименьший размер объекта различения, мм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при верхнем или комбинированном освещении </w:t>
            </w:r>
          </w:p>
        </w:tc>
        <w:tc>
          <w:tcPr>
            <w:tcW w:w="13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При боковом освещении в зоне с устойчивым снежным покровом на осталь ной территории СССР </w:t>
            </w:r>
          </w:p>
        </w:tc>
      </w:tr>
      <w:tr w:rsidR="00407473" w:rsidRPr="00407473">
        <w:trPr>
          <w:trHeight w:val="360"/>
          <w:tblCellSpacing w:w="7" w:type="dxa"/>
        </w:trPr>
        <w:tc>
          <w:tcPr>
            <w:tcW w:w="2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I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Наивысшей точности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менее 0,15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10 </w:t>
            </w:r>
          </w:p>
        </w:tc>
        <w:tc>
          <w:tcPr>
            <w:tcW w:w="13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2,8/3,5 </w:t>
            </w:r>
          </w:p>
        </w:tc>
      </w:tr>
      <w:tr w:rsidR="00407473" w:rsidRPr="00407473">
        <w:trPr>
          <w:trHeight w:val="330"/>
          <w:tblCellSpacing w:w="7" w:type="dxa"/>
        </w:trPr>
        <w:tc>
          <w:tcPr>
            <w:tcW w:w="2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II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Очень высокой точности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0,15—0,3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7 </w:t>
            </w:r>
          </w:p>
        </w:tc>
        <w:tc>
          <w:tcPr>
            <w:tcW w:w="13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2,0/2,5 </w:t>
            </w:r>
          </w:p>
        </w:tc>
      </w:tr>
      <w:tr w:rsidR="00407473" w:rsidRPr="00407473">
        <w:trPr>
          <w:trHeight w:val="570"/>
          <w:tblCellSpacing w:w="7" w:type="dxa"/>
        </w:trPr>
        <w:tc>
          <w:tcPr>
            <w:tcW w:w="2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III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IV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Высокой точности Средней точности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0,3—0,5 0,5—1,0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5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4 </w:t>
            </w:r>
          </w:p>
        </w:tc>
        <w:tc>
          <w:tcPr>
            <w:tcW w:w="13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1,6/2,0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1.2/1,5 </w:t>
            </w:r>
          </w:p>
        </w:tc>
      </w:tr>
      <w:tr w:rsidR="00407473" w:rsidRPr="00407473">
        <w:trPr>
          <w:trHeight w:val="375"/>
          <w:tblCellSpacing w:w="7" w:type="dxa"/>
        </w:trPr>
        <w:tc>
          <w:tcPr>
            <w:tcW w:w="2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V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Малой точности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1,0—5,0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3 </w:t>
            </w:r>
          </w:p>
        </w:tc>
        <w:tc>
          <w:tcPr>
            <w:tcW w:w="13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0,8/1,0 </w:t>
            </w:r>
          </w:p>
        </w:tc>
      </w:tr>
      <w:tr w:rsidR="00407473" w:rsidRPr="00407473">
        <w:trPr>
          <w:trHeight w:val="405"/>
          <w:tblCellSpacing w:w="7" w:type="dxa"/>
        </w:trPr>
        <w:tc>
          <w:tcPr>
            <w:tcW w:w="2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VI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Грубая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более 5,0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2 </w:t>
            </w:r>
          </w:p>
        </w:tc>
        <w:tc>
          <w:tcPr>
            <w:tcW w:w="13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0,4/0,5 </w:t>
            </w:r>
          </w:p>
        </w:tc>
      </w:tr>
      <w:tr w:rsidR="00407473" w:rsidRPr="00407473">
        <w:trPr>
          <w:trHeight w:val="750"/>
          <w:tblCellSpacing w:w="7" w:type="dxa"/>
        </w:trPr>
        <w:tc>
          <w:tcPr>
            <w:tcW w:w="2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VII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Работы со светящимися материалами и изделиями в горячих цехах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более 0,5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3 </w:t>
            </w:r>
          </w:p>
        </w:tc>
        <w:tc>
          <w:tcPr>
            <w:tcW w:w="13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0,8/1,0 </w:t>
            </w:r>
          </w:p>
        </w:tc>
      </w:tr>
      <w:tr w:rsidR="00407473" w:rsidRPr="00407473">
        <w:trPr>
          <w:trHeight w:val="975"/>
          <w:tblCellSpacing w:w="7" w:type="dxa"/>
        </w:trPr>
        <w:tc>
          <w:tcPr>
            <w:tcW w:w="2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VIII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Общее постоянное наблюдение за ходом производственного процесса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— </w:t>
            </w:r>
          </w:p>
        </w:tc>
        <w:tc>
          <w:tcPr>
            <w:tcW w:w="14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 </w:t>
            </w:r>
          </w:p>
        </w:tc>
        <w:tc>
          <w:tcPr>
            <w:tcW w:w="13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0,2/0,3 </w:t>
            </w:r>
          </w:p>
        </w:tc>
      </w:tr>
    </w:tbl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может резко изменяться за очень короткий промежуток времени в довольно широких пределах. Поэтому основной величиной для расчета и нормирования естественного освещения внутри помещений принят коэффициент естественной освещенности (КЕО) —отношение (в процентах освещенности) в данной точке помещения Евн к наблюдаемой одновременно освещенности под открытым небом Eнар. </w:t>
      </w:r>
    </w:p>
    <w:p w:rsidR="00407473" w:rsidRPr="00407473" w:rsidRDefault="00A60242" w:rsidP="008F49C3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152525" cy="438150"/>
                <wp:effectExtent l="0" t="0" r="0" b="0"/>
                <wp:docPr id="2" name="AutoShape 1" descr="Image18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Image1860" style="width:90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Нормы естественного освещения промышленных зданий, сведенные к нормированию КЕО, представлены в СНиП II-4—79. Для облегчения нормирования освещенности рабочих мест все зрительные работы по степени точности делятся на восемь разрядов.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СНиП 11-4—79 устанавливают требуемую величину КЕО в зависимости от точности работ, вида освещения и географического расположения производства. В табл. 1. приведены значения КЕО для зданий, расположенных в III поясе светового климата (енIII).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Территория СССР делится на пять световых поясов, для которых значения КЕО определяются по формуле: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где m и c коэффициенты светового и солнечного климата соответственно.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Для определения соответствия естественной освещенности в производственном помещении требуемым нормам освещенность измеряют при верхнем и комбинированном освещении—в различных точках помещения с последующим усреднением; при боковом— на наименее освещенных рабочих местах. Одновременно измеряют наружную освещенность и определенный расчетным путем К.ЕО сравнивают с нормативным.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Расчет естественного освещения заключается в определении площади световых проемов для помещения. Расчет ведут по следующим формулам: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при боковом освещении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при верхнем освещении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где So, 5ф—площадь окон и фонарей, м </w:t>
      </w:r>
      <w:r w:rsidRPr="00407473">
        <w:rPr>
          <w:vertAlign w:val="superscript"/>
        </w:rPr>
        <w:t xml:space="preserve">2 </w:t>
      </w:r>
      <w:r w:rsidRPr="00407473">
        <w:t xml:space="preserve">; Sn—площадь пола, м </w:t>
      </w:r>
      <w:r w:rsidRPr="00407473">
        <w:rPr>
          <w:vertAlign w:val="superscript"/>
        </w:rPr>
        <w:t xml:space="preserve">2 </w:t>
      </w:r>
      <w:r w:rsidRPr="00407473">
        <w:t xml:space="preserve">; eн—нормированное значение К.ЕО; Кз—коэффициент запаса (kз=1,2—2,0); h o, h ф— световая характеристики окна, фонаря; То—общий коэффициент светопропускания (учитывает оптические свойства стекла, потери света в переплетах, из-за загрязнения остекленной поверхности, в несущих конструкциях, солнцезащитных устройствах); r1, r2—коэффициенты, учитывающие отражение света при боковом и верхнем освещении; kзд—1—1,7—коэффициент, учитывающий затемнение окон противостоящими зданиями; kф—коэффициент, учитывающий тип фонаря.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Значения коэффициентов для расчета естественного освещения принимают по таблицам СНиП 11-4—79.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407473">
        <w:rPr>
          <w:b/>
          <w:bCs/>
        </w:rPr>
        <w:t xml:space="preserve">3. ИСКУССТВЕННОЕ ОСВЕЩЕНИЕ НОРМИРОВАНИЕ И РАСЧЕТ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Искусственное освещение предусматривается в помещениях, в которых недостаточно естественного света, или для освещения помещения в часы суток, когда естественная освещенность отсутствует.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Искусственное освещение может быть общим (все производственные помещения освещаются однотипными светильниками, равномерно расположенными над освещаемой поверхностью и снабженными лампами одинаковой мощности) и комбинированным (к общему освещению добавляется местное освещение работах мест светильниками, находящимися у аппарата, станка, приборов и т. д.). Использование только местного освещения недопустимо, так как резкий контраст между ярко освещенными и неосвещенными участками утомляет глаза, замедляет процесс работы и может послужить причиной несчастных случаев д аварий.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По функциональному назначению искусственное освещение подразделяется на рабочее, дежурное, аварийное. Рабочее освещение обязательно во всех помещениях и на освещаемых территориях для обеспечения нормальной работы людей и движения транспорта. Дежурное освещение включается во вне рабочее время.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Аварийное освещение предусматривается для обеспечения минимальной освещенности в производственном помещении на случай внезапного отключения рабочего освещения.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В современных многопролетных одноэтажных зданиях без световых фонарей с одним боковым остеклением в дневное время суток применяют одновременно естественное и искусственное освещение (совмещенное освещение). Важно, чтобы оба вида освещения гармонировали одно с другим. Для искусственного освещения в этом случае целесообразно использовать люминесцентные лампы.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lastRenderedPageBreak/>
        <w:t xml:space="preserve">В современных осветительных установках, предназначенных для освещения производственных помещений, в качестве источников света применяют лампы накаливания, галогенные и газоразрядные.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Лампы накаливания. Свечение в этих лампах возникает в результате нагрева вольфрамовой нити до высокой температуры. Промышленность выпускает различные типы ламп накаливания: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вакуумные (В), газонаполненные (Г) (наполнитель смесь аргона и азота), биспиральные (Б), с криптоновым наполнением (К). Лампы накаливания просты в изготовлении, удобны в эксплуатации, не требуют дополнительных устройств для включения в сеть. Недостаток этих ламп—малая световая отдача от 7 до 20 лм/Вт при большой яркости нити накала, низкий кпд, равный 10—13%; срок службы 800—1000 ч. Лампы дают непрерывный спектр, отличающийся от спектра дневного света преобладанием желтых и красных лучей, что в какой-то степени искажает восприятие человеком цветов окружающих предметов.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Основные характеристики ламп—световая отдача, световой поток, средняя продолжительность службы — регламентированы ГОСТ 2239—79 УЛампы накаливания общего назначения. Технические условияФ ГОСТ 19190—84 УЛампы электрические. Общие технические условия.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Галогенные лампы накаливания наряду с вольфрамовой нитью содержат в колбе пары того или иного галогена (например, иода), который повышает температуру накала нити и практически исключает испарение. Они имеют более продолжительный срок службы (до 3000 ч) и более высокую светоотдачу (до 30 лм/Вт).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Газоразрядные лампы излучают свет в результате электрических разрядов в парах газа. На внутреннюю поверхность колбы нанесен слой светящегося вещества—люминофора, трансформирующего электрические разряды в видимый свет. Различают газоразрядные лампы низкого (люминесцентные) и высокого давления.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Люминесцентные лампы создают в производственных и других помещениях искусственный свет, приближающийся к естественному, более экономичны в сравнении с другими лампами и создают освещение более благоприятное с гигиенической точки зрения.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К другим преимуществам люминесцентных ламп относятся больший срок службы (10000 ч) и высокая световая отдача, достигающая для ламп некоторых видов 75 лм/Вт, т. е. они в 2,5-3 раза экономичнее ламп накаливания. Свечение происходит со всей поверхности трубки, а следовательно, яркость и слепящее действие люминесцентных ламп значительно ниже ламп накаливания. Низкая температура поверхности колбы (около5гр.С) делает лампу относительно пожаробезопасной.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Несмотря на ряд преимуществ, люминесцентное освещение имеет и некоторые недостатки: пульсация светового поток, вызывающая стробоскопический эффект (искажение зрительного восприятия объектов различия—вместо одного предмета видны изображения нескольких, а также направления и скорости движения); дорогостоящая и относительно сложная схема включения, требующая регулирующих пусковых устройств (дроссели, стартеры); значительная отраженная блескость; чувстительность к колебаниям температуры окружающей среды (оптимальная температура 20— 25 °С) понижение и повышение температуры вызывает уменьшение светового потока. В зависимости от состава люминофора и особенностей конструкции различают несколько типов люминесцентных ламп: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ЛБ—лампы белого света, ЛД—лампы дневного света, ЛТБ — лампы тепло-белого света, ЛХБ—лампы холодного света, ЛДЦ—лампы дневного света правильной цветопередачи. Наиболее универсальны лампы ЛБ. Лампы ЛХБ, ЛД и особенно ЛДЦ применяются в случаях, когда выполняемая работа предполагает цветоразличение.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Характеристика люминесцентных ламп приведена в ГОСТ 6825—74. Для освещения открытых пространств, высоких (более </w:t>
      </w:r>
      <w:smartTag w:uri="urn:schemas-microsoft-com:office:smarttags" w:element="metricconverter">
        <w:smartTagPr>
          <w:attr w:name="ProductID" w:val="6 м"/>
        </w:smartTagPr>
        <w:r w:rsidRPr="00407473">
          <w:t>6 м</w:t>
        </w:r>
      </w:smartTag>
      <w:r w:rsidRPr="00407473">
        <w:t xml:space="preserve">) производственных помещений в последнее время большое распространение получили дуговые люминесцентные ртутные лампы высокого давления (ДРЛ). Эти лампы в отличие от обычных люминесцентных ламп сосредотачивают в небольшом объеме значительную электрическую и световую мощность. Такие лампы </w:t>
      </w:r>
      <w:r w:rsidRPr="00407473">
        <w:lastRenderedPageBreak/>
        <w:t xml:space="preserve">выпускают мощностью от 80 до 1000 Вт. Лампы работают при любой температуре внешней среды. Кроме того, их можно устанавливать в обычных светильниках взамен ламп накаливания.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К недостаткам ламп относится длительное, в течение 5— 7 мин, разгорание при включении. Ведутся разработки по созданию мощных ламп, дающих спектр, близкий к спектру естественного света. Такими источниками являются дуговая кварцевая лампа ДКсТ, выполненная из кварцевого стекла и наполненная ксеноном под большим давлением, галогенные (ДРИ) и натриевые лампы (ДНаТ).Эти лампы обладают высокой световой отдачей до 100 лМ/Вт, правильной цветопередачей, их мощность составляет 1—2 кВт. Такие лампы можно применять для освещения производственных помещений высотой более </w:t>
      </w:r>
      <w:smartTag w:uri="urn:schemas-microsoft-com:office:smarttags" w:element="metricconverter">
        <w:smartTagPr>
          <w:attr w:name="ProductID" w:val="10 м"/>
        </w:smartTagPr>
        <w:r w:rsidRPr="00407473">
          <w:t>10 м</w:t>
        </w:r>
      </w:smartTag>
      <w:r w:rsidRPr="00407473">
        <w:t xml:space="preserve">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Для освещения помещений, как правило, следует предусматривать газоразрядные лампы низкого и высокого давления. В случае необходимости допускается использование ламп накаливания. Источники света выбирают с учетом рекомендаций СНиП 11-4—79.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Для искусственного освещения нормируемый параметр—освещенность. СНиП 11-4—79 устанавливают минимальные уровни освещенности рабочих поверхностей в зависимости от точности зрительной работы, контраста объекта и фона, яркости фона, системы освещения и типа используемых ламп.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Нормами установлена наименьшая освещенность, при которой обеспечивается выполнение зрительной работы. Кроме того, нормируется степень равномерности освещения источниками общего и местного освещения при комбинированном освещении с целью обеспечения более полной зрительной адаптации в наименьший отрезок времени. Для ослабления слепящего действия открытых источников света и освещенных поверхностей с чрезмерной яркостью (блескостью) нормами предусмотрен ряд защитных мер: наименьшая высота подвеса над уровнем пола светильников общего освещения, наличие отражателей, допустимая яркость светорассеивающей поверхности.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Нормы освещенности для I разряда зрительной работы даны в табл. 2. Деление разрядов на подразряды дает возможность более оптимально выбрать освещенность для каждой зрительной работы. Необходимый уровень освещенности тем выше, чем темнее фон, меньше объект различения и контраст объекта с фоном.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Нормы освещенности для ламп накаливания меньше, чем для газоразрядных, их следует снижать по шкале освещенности согласно СНиП 11-4—79.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Расчет электрического освещения выполняют при проектировании осветительных установок для определений общей установленной мощности и мощности каждой лампы или числа всех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светильников.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Существует несколько методов расчета освещения, наиболее простой — метод удельной мощности, но он менее точен и им пользуются только для ориентировочных расчетов.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Таблица 2. Hopмы освещенности рабочих поверхностей для газоразрядных источников света </w:t>
      </w:r>
    </w:p>
    <w:tbl>
      <w:tblPr>
        <w:tblW w:w="7365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7"/>
        <w:gridCol w:w="762"/>
        <w:gridCol w:w="494"/>
        <w:gridCol w:w="254"/>
        <w:gridCol w:w="553"/>
        <w:gridCol w:w="686"/>
        <w:gridCol w:w="1720"/>
        <w:gridCol w:w="1959"/>
        <w:gridCol w:w="1205"/>
      </w:tblGrid>
      <w:tr w:rsidR="00407473" w:rsidRPr="00407473">
        <w:trPr>
          <w:trHeight w:val="270"/>
          <w:tblCellSpacing w:w="7" w:type="dxa"/>
        </w:trPr>
        <w:tc>
          <w:tcPr>
            <w:tcW w:w="700" w:type="pct"/>
            <w:vMerge w:val="restar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Характеристика зрительной работы </w:t>
            </w:r>
          </w:p>
        </w:tc>
        <w:tc>
          <w:tcPr>
            <w:tcW w:w="600" w:type="pct"/>
            <w:vMerge w:val="restar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Разряд работ </w:t>
            </w:r>
          </w:p>
        </w:tc>
        <w:tc>
          <w:tcPr>
            <w:tcW w:w="750" w:type="pct"/>
            <w:gridSpan w:val="2"/>
            <w:vMerge w:val="restar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Под-разряд работ </w:t>
            </w:r>
          </w:p>
        </w:tc>
        <w:tc>
          <w:tcPr>
            <w:tcW w:w="450" w:type="pct"/>
            <w:gridSpan w:val="2"/>
            <w:vMerge w:val="restar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Контраст объекта различения с фоном </w:t>
            </w:r>
          </w:p>
        </w:tc>
        <w:tc>
          <w:tcPr>
            <w:tcW w:w="650" w:type="pct"/>
            <w:vMerge w:val="restar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Характеристика фона </w:t>
            </w:r>
          </w:p>
        </w:tc>
        <w:tc>
          <w:tcPr>
            <w:tcW w:w="18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Освещенность, лк </w:t>
            </w:r>
          </w:p>
        </w:tc>
      </w:tr>
      <w:tr w:rsidR="00407473" w:rsidRPr="00407473">
        <w:trPr>
          <w:trHeight w:val="960"/>
          <w:tblCellSpacing w:w="7" w:type="dxa"/>
        </w:trPr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8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при комбинированном освещении </w:t>
            </w:r>
          </w:p>
        </w:tc>
        <w:tc>
          <w:tcPr>
            <w:tcW w:w="10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при общем освещении </w:t>
            </w:r>
          </w:p>
        </w:tc>
      </w:tr>
      <w:tr w:rsidR="00407473" w:rsidRPr="00407473">
        <w:trPr>
          <w:trHeight w:val="555"/>
          <w:tblCellSpacing w:w="7" w:type="dxa"/>
        </w:trPr>
        <w:tc>
          <w:tcPr>
            <w:tcW w:w="7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Наивысшей точности </w:t>
            </w:r>
          </w:p>
        </w:tc>
        <w:tc>
          <w:tcPr>
            <w:tcW w:w="600" w:type="pct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5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а </w:t>
            </w:r>
          </w:p>
        </w:tc>
        <w:tc>
          <w:tcPr>
            <w:tcW w:w="4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Малый </w:t>
            </w:r>
          </w:p>
        </w:tc>
        <w:tc>
          <w:tcPr>
            <w:tcW w:w="9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темный </w:t>
            </w:r>
          </w:p>
        </w:tc>
        <w:tc>
          <w:tcPr>
            <w:tcW w:w="8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5000 </w:t>
            </w:r>
          </w:p>
        </w:tc>
        <w:tc>
          <w:tcPr>
            <w:tcW w:w="10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1500 </w:t>
            </w:r>
          </w:p>
        </w:tc>
      </w:tr>
      <w:tr w:rsidR="00407473" w:rsidRPr="00407473">
        <w:trPr>
          <w:trHeight w:val="270"/>
          <w:tblCellSpacing w:w="7" w:type="dxa"/>
        </w:trPr>
        <w:tc>
          <w:tcPr>
            <w:tcW w:w="700" w:type="pct"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6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500" w:type="pct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б </w:t>
            </w:r>
          </w:p>
        </w:tc>
        <w:tc>
          <w:tcPr>
            <w:tcW w:w="4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Малый </w:t>
            </w:r>
          </w:p>
        </w:tc>
        <w:tc>
          <w:tcPr>
            <w:tcW w:w="9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средний </w:t>
            </w:r>
          </w:p>
        </w:tc>
        <w:tc>
          <w:tcPr>
            <w:tcW w:w="8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4000 </w:t>
            </w:r>
          </w:p>
        </w:tc>
        <w:tc>
          <w:tcPr>
            <w:tcW w:w="10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1250 </w:t>
            </w:r>
          </w:p>
        </w:tc>
      </w:tr>
      <w:tr w:rsidR="00407473" w:rsidRPr="00407473">
        <w:trPr>
          <w:trHeight w:val="285"/>
          <w:tblCellSpacing w:w="7" w:type="dxa"/>
        </w:trPr>
        <w:tc>
          <w:tcPr>
            <w:tcW w:w="700" w:type="pct"/>
            <w:vMerge w:val="restar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lastRenderedPageBreak/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600" w:type="pct"/>
            <w:vMerge w:val="restar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lastRenderedPageBreak/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lastRenderedPageBreak/>
              <w:t xml:space="preserve">I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lastRenderedPageBreak/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4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Средний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темный </w:t>
            </w:r>
          </w:p>
        </w:tc>
        <w:tc>
          <w:tcPr>
            <w:tcW w:w="8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10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</w:tr>
      <w:tr w:rsidR="00407473" w:rsidRPr="00407473">
        <w:trPr>
          <w:trHeight w:val="345"/>
          <w:tblCellSpacing w:w="7" w:type="dxa"/>
        </w:trPr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в </w:t>
            </w:r>
          </w:p>
        </w:tc>
        <w:tc>
          <w:tcPr>
            <w:tcW w:w="4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Малый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светлый </w:t>
            </w:r>
          </w:p>
        </w:tc>
        <w:tc>
          <w:tcPr>
            <w:tcW w:w="8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2500 </w:t>
            </w:r>
          </w:p>
        </w:tc>
        <w:tc>
          <w:tcPr>
            <w:tcW w:w="10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750 </w:t>
            </w:r>
          </w:p>
        </w:tc>
      </w:tr>
      <w:tr w:rsidR="00407473" w:rsidRPr="00407473">
        <w:trPr>
          <w:trHeight w:val="315"/>
          <w:tblCellSpacing w:w="7" w:type="dxa"/>
        </w:trPr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4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Средний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средний </w:t>
            </w:r>
          </w:p>
        </w:tc>
        <w:tc>
          <w:tcPr>
            <w:tcW w:w="8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10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</w:tr>
      <w:tr w:rsidR="00407473" w:rsidRPr="00407473">
        <w:trPr>
          <w:trHeight w:val="270"/>
          <w:tblCellSpacing w:w="7" w:type="dxa"/>
        </w:trPr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4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Большой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темный </w:t>
            </w:r>
          </w:p>
        </w:tc>
        <w:tc>
          <w:tcPr>
            <w:tcW w:w="8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10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</w:tr>
      <w:tr w:rsidR="00407473" w:rsidRPr="00407473">
        <w:trPr>
          <w:trHeight w:val="285"/>
          <w:tblCellSpacing w:w="7" w:type="dxa"/>
        </w:trPr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г </w:t>
            </w:r>
          </w:p>
        </w:tc>
        <w:tc>
          <w:tcPr>
            <w:tcW w:w="4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Средний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светлый </w:t>
            </w:r>
          </w:p>
        </w:tc>
        <w:tc>
          <w:tcPr>
            <w:tcW w:w="8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1500 </w:t>
            </w:r>
          </w:p>
        </w:tc>
        <w:tc>
          <w:tcPr>
            <w:tcW w:w="10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400 </w:t>
            </w:r>
          </w:p>
        </w:tc>
      </w:tr>
      <w:tr w:rsidR="00407473" w:rsidRPr="00407473">
        <w:trPr>
          <w:trHeight w:val="240"/>
          <w:tblCellSpacing w:w="7" w:type="dxa"/>
        </w:trPr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4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Большой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светлый </w:t>
            </w:r>
          </w:p>
        </w:tc>
        <w:tc>
          <w:tcPr>
            <w:tcW w:w="8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10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</w:tr>
      <w:tr w:rsidR="00407473" w:rsidRPr="00407473">
        <w:trPr>
          <w:trHeight w:val="255"/>
          <w:tblCellSpacing w:w="7" w:type="dxa"/>
        </w:trPr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407473" w:rsidRPr="00407473" w:rsidRDefault="00407473" w:rsidP="008F49C3">
            <w:pPr>
              <w:jc w:val="both"/>
            </w:pP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4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Большой </w:t>
            </w:r>
          </w:p>
        </w:tc>
        <w:tc>
          <w:tcPr>
            <w:tcW w:w="6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средний </w:t>
            </w:r>
          </w:p>
        </w:tc>
        <w:tc>
          <w:tcPr>
            <w:tcW w:w="8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  <w:tc>
          <w:tcPr>
            <w:tcW w:w="10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</w:tc>
      </w:tr>
    </w:tbl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  <w:r w:rsidRPr="00407473">
        <w:t xml:space="preserve">Удельную мощность вычисляют по формуле </w:t>
      </w:r>
    </w:p>
    <w:p w:rsidR="00407473" w:rsidRPr="00407473" w:rsidRDefault="00A60242" w:rsidP="008F49C3">
      <w:pPr>
        <w:pStyle w:val="a3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628650" cy="390525"/>
                <wp:effectExtent l="0" t="0" r="0" b="0"/>
                <wp:docPr id="1" name="AutoShape 2" descr="Image1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6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Image1864" style="width:49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  <w:rPr>
          <w:i/>
          <w:iCs/>
        </w:rPr>
      </w:pPr>
      <w:r w:rsidRPr="00407473">
        <w:rPr>
          <w:i/>
          <w:iCs/>
        </w:rPr>
        <w:t xml:space="preserve">где n—число светильников; Р </w:t>
      </w:r>
      <w:r w:rsidRPr="00407473">
        <w:t xml:space="preserve">— </w:t>
      </w:r>
      <w:r w:rsidRPr="00407473">
        <w:rPr>
          <w:i/>
          <w:iCs/>
        </w:rPr>
        <w:t xml:space="preserve">мощность лампы, Вт; S—освещаемая площадь, м </w:t>
      </w:r>
      <w:r w:rsidRPr="00407473">
        <w:rPr>
          <w:i/>
          <w:iCs/>
          <w:vertAlign w:val="superscript"/>
        </w:rPr>
        <w:t xml:space="preserve">2 </w:t>
      </w:r>
      <w:r w:rsidRPr="00407473">
        <w:rPr>
          <w:i/>
          <w:iCs/>
        </w:rPr>
        <w:t xml:space="preserve">. </w:t>
      </w: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  <w:r w:rsidRPr="00407473">
        <w:t xml:space="preserve">Значение удельной мощности указано в таблицах справочников по светотехнике в зависимости от типа светильника, высоты его подвеса, площади пола и требуемой освещенности. </w:t>
      </w: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  <w:rPr>
          <w:i/>
          <w:iCs/>
        </w:rPr>
      </w:pPr>
      <w:r w:rsidRPr="00407473">
        <w:t xml:space="preserve">Обычно при расчете задаются всеми параметрами установки и числом светильников </w:t>
      </w:r>
      <w:r w:rsidRPr="00407473">
        <w:rPr>
          <w:i/>
          <w:iCs/>
        </w:rPr>
        <w:t xml:space="preserve">п, </w:t>
      </w:r>
      <w:r w:rsidRPr="00407473">
        <w:t xml:space="preserve">по таблице находят </w:t>
      </w:r>
      <w:r w:rsidRPr="00407473">
        <w:rPr>
          <w:i/>
          <w:iCs/>
        </w:rPr>
        <w:t xml:space="preserve">W </w:t>
      </w:r>
      <w:r w:rsidRPr="00407473">
        <w:t xml:space="preserve">и выбирают мощность лампы, ближайшей к определяемой из выражения </w:t>
      </w:r>
      <w:r w:rsidRPr="00407473">
        <w:rPr>
          <w:i/>
          <w:iCs/>
        </w:rPr>
        <w:t xml:space="preserve">W*S/n. </w:t>
      </w: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  <w:r w:rsidRPr="00407473">
        <w:t xml:space="preserve">Основной метод расчета— </w:t>
      </w:r>
      <w:r w:rsidRPr="00407473">
        <w:rPr>
          <w:i/>
          <w:iCs/>
        </w:rPr>
        <w:t xml:space="preserve">по коэффициенту использования светового потока, </w:t>
      </w:r>
      <w:r w:rsidRPr="00407473">
        <w:t xml:space="preserve">которым определяется поток, необходимый для создания заданной освещенности горизонтальной поверхности при общем равномерном освещении с учетом света, отраженного стенами и потолком. Расчет выполняют по следующим формулам: </w:t>
      </w: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  <w:r w:rsidRPr="00407473">
        <w:t xml:space="preserve">для ламп накаливания и ламп типов ДРЛ, ДРИ и ДНат </w:t>
      </w: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  <w:r w:rsidRPr="00407473">
        <w:t xml:space="preserve">для люминесцентных ламп </w:t>
      </w: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  <w:r w:rsidRPr="00407473">
        <w:t xml:space="preserve">где F—световой поток одной лампы, лм; Е—нормированная освещенность, лк; УS—площадь помещения, m </w:t>
      </w:r>
      <w:r w:rsidRPr="00407473">
        <w:rPr>
          <w:vertAlign w:val="superscript"/>
        </w:rPr>
        <w:t xml:space="preserve">2 </w:t>
      </w:r>
      <w:r w:rsidRPr="00407473">
        <w:t xml:space="preserve">; г—поправочный коэффициент светильника (для стандартных светильников 1,1—1,3); k — коэффициент запася, учитывающий снижение освещенности при эксплуатации (k=1,1—13) n -число светильников; и—коэффициент использования, зависящий от типа </w:t>
      </w: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  <w:r w:rsidRPr="00407473">
        <w:t xml:space="preserve">Таблица 3. Световые и электрически параметры ламп накаливания </w:t>
      </w: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  <w:r w:rsidRPr="00407473">
        <w:t xml:space="preserve">[по ГОСТ 2239—79) </w:t>
      </w:r>
    </w:p>
    <w:p w:rsidR="00407473" w:rsidRPr="00407473" w:rsidRDefault="00407473" w:rsidP="008F49C3">
      <w:pPr>
        <w:pStyle w:val="a3"/>
        <w:spacing w:before="0" w:beforeAutospacing="0" w:after="0" w:afterAutospacing="0"/>
        <w:jc w:val="both"/>
      </w:pPr>
      <w:r w:rsidRPr="00407473">
        <w:rPr>
          <w:i/>
          <w:iCs/>
        </w:rPr>
        <w:t xml:space="preserve">и </w:t>
      </w:r>
      <w:r w:rsidRPr="00407473">
        <w:t xml:space="preserve">люминесцентных ламп (по ГОСТ 6815—74) </w:t>
      </w:r>
    </w:p>
    <w:tbl>
      <w:tblPr>
        <w:tblW w:w="732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8"/>
        <w:gridCol w:w="388"/>
        <w:gridCol w:w="566"/>
        <w:gridCol w:w="656"/>
        <w:gridCol w:w="494"/>
        <w:gridCol w:w="494"/>
        <w:gridCol w:w="392"/>
        <w:gridCol w:w="531"/>
        <w:gridCol w:w="572"/>
        <w:gridCol w:w="650"/>
        <w:gridCol w:w="1539"/>
      </w:tblGrid>
      <w:tr w:rsidR="00407473" w:rsidRPr="00407473">
        <w:trPr>
          <w:trHeight w:val="270"/>
          <w:tblCellSpacing w:w="7" w:type="dxa"/>
        </w:trPr>
        <w:tc>
          <w:tcPr>
            <w:tcW w:w="2400" w:type="pct"/>
            <w:gridSpan w:val="6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Лампы накаливания, 220 В </w:t>
            </w:r>
          </w:p>
        </w:tc>
        <w:tc>
          <w:tcPr>
            <w:tcW w:w="2600" w:type="pct"/>
            <w:gridSpan w:val="5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Люминесцентные лампы </w:t>
            </w:r>
          </w:p>
        </w:tc>
      </w:tr>
      <w:tr w:rsidR="00407473" w:rsidRPr="00407473">
        <w:trPr>
          <w:trHeight w:val="630"/>
          <w:tblCellSpacing w:w="7" w:type="dxa"/>
        </w:trPr>
        <w:tc>
          <w:tcPr>
            <w:tcW w:w="10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Тип </w:t>
            </w:r>
          </w:p>
        </w:tc>
        <w:tc>
          <w:tcPr>
            <w:tcW w:w="6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Мощность, Вт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световой по ток, лм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  </w:t>
            </w:r>
          </w:p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тип лампы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Мощность, Вт </w:t>
            </w:r>
          </w:p>
        </w:tc>
        <w:tc>
          <w:tcPr>
            <w:tcW w:w="110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световой по ток, лм </w:t>
            </w:r>
          </w:p>
        </w:tc>
      </w:tr>
      <w:tr w:rsidR="00407473" w:rsidRPr="00407473">
        <w:trPr>
          <w:trHeight w:val="270"/>
          <w:tblCellSpacing w:w="7" w:type="dxa"/>
        </w:trPr>
        <w:tc>
          <w:tcPr>
            <w:tcW w:w="7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В, Б </w:t>
            </w:r>
          </w:p>
        </w:tc>
        <w:tc>
          <w:tcPr>
            <w:tcW w:w="6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25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230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ЛДЦ (ЛБ)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15 </w:t>
            </w:r>
          </w:p>
        </w:tc>
        <w:tc>
          <w:tcPr>
            <w:tcW w:w="15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600 (820) </w:t>
            </w:r>
          </w:p>
        </w:tc>
      </w:tr>
      <w:tr w:rsidR="00407473" w:rsidRPr="00407473">
        <w:trPr>
          <w:trHeight w:val="285"/>
          <w:tblCellSpacing w:w="7" w:type="dxa"/>
        </w:trPr>
        <w:tc>
          <w:tcPr>
            <w:tcW w:w="7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Б (БК) </w:t>
            </w:r>
          </w:p>
        </w:tc>
        <w:tc>
          <w:tcPr>
            <w:tcW w:w="6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40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415 (460)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ЛДЦ (ЛД)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30 </w:t>
            </w:r>
          </w:p>
        </w:tc>
        <w:tc>
          <w:tcPr>
            <w:tcW w:w="15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1500 (1800) </w:t>
            </w:r>
          </w:p>
        </w:tc>
      </w:tr>
      <w:tr w:rsidR="00407473" w:rsidRPr="00407473">
        <w:trPr>
          <w:trHeight w:val="285"/>
          <w:tblCellSpacing w:w="7" w:type="dxa"/>
        </w:trPr>
        <w:tc>
          <w:tcPr>
            <w:tcW w:w="7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5 (БК) </w:t>
            </w:r>
          </w:p>
        </w:tc>
        <w:tc>
          <w:tcPr>
            <w:tcW w:w="6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60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715 (790)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ЛХБ (ЛТБ)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30 </w:t>
            </w:r>
          </w:p>
        </w:tc>
        <w:tc>
          <w:tcPr>
            <w:tcW w:w="15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1940 (2020) </w:t>
            </w:r>
          </w:p>
        </w:tc>
      </w:tr>
      <w:tr w:rsidR="00407473" w:rsidRPr="00407473">
        <w:trPr>
          <w:trHeight w:val="270"/>
          <w:tblCellSpacing w:w="7" w:type="dxa"/>
        </w:trPr>
        <w:tc>
          <w:tcPr>
            <w:tcW w:w="7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Б (БК) </w:t>
            </w:r>
          </w:p>
        </w:tc>
        <w:tc>
          <w:tcPr>
            <w:tcW w:w="6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75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950 (1020)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ЛБ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30 </w:t>
            </w:r>
          </w:p>
        </w:tc>
        <w:tc>
          <w:tcPr>
            <w:tcW w:w="15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2180 </w:t>
            </w:r>
          </w:p>
        </w:tc>
      </w:tr>
      <w:tr w:rsidR="00407473" w:rsidRPr="00407473">
        <w:trPr>
          <w:trHeight w:val="270"/>
          <w:tblCellSpacing w:w="7" w:type="dxa"/>
        </w:trPr>
        <w:tc>
          <w:tcPr>
            <w:tcW w:w="7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lastRenderedPageBreak/>
              <w:t xml:space="preserve">Б (БК) </w:t>
            </w:r>
          </w:p>
        </w:tc>
        <w:tc>
          <w:tcPr>
            <w:tcW w:w="6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100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1350 (1450)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ЛДЦ (ЛД)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40 </w:t>
            </w:r>
          </w:p>
        </w:tc>
        <w:tc>
          <w:tcPr>
            <w:tcW w:w="15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2200 (2500) </w:t>
            </w:r>
          </w:p>
        </w:tc>
      </w:tr>
      <w:tr w:rsidR="00407473" w:rsidRPr="00407473">
        <w:trPr>
          <w:trHeight w:val="270"/>
          <w:tblCellSpacing w:w="7" w:type="dxa"/>
        </w:trPr>
        <w:tc>
          <w:tcPr>
            <w:tcW w:w="7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Б, Г </w:t>
            </w:r>
          </w:p>
        </w:tc>
        <w:tc>
          <w:tcPr>
            <w:tcW w:w="6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200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2920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ЛХБ (ЛБ)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40 </w:t>
            </w:r>
          </w:p>
        </w:tc>
        <w:tc>
          <w:tcPr>
            <w:tcW w:w="15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3000 (3200) </w:t>
            </w:r>
          </w:p>
        </w:tc>
      </w:tr>
      <w:tr w:rsidR="00407473" w:rsidRPr="00407473">
        <w:trPr>
          <w:trHeight w:val="285"/>
          <w:tblCellSpacing w:w="7" w:type="dxa"/>
        </w:trPr>
        <w:tc>
          <w:tcPr>
            <w:tcW w:w="7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Г </w:t>
            </w:r>
          </w:p>
        </w:tc>
        <w:tc>
          <w:tcPr>
            <w:tcW w:w="6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300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4610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ЛД (ЛБ)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65 </w:t>
            </w:r>
          </w:p>
        </w:tc>
        <w:tc>
          <w:tcPr>
            <w:tcW w:w="15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4000 (4800) </w:t>
            </w:r>
          </w:p>
        </w:tc>
      </w:tr>
      <w:tr w:rsidR="00407473" w:rsidRPr="00407473">
        <w:trPr>
          <w:trHeight w:val="285"/>
          <w:tblCellSpacing w:w="7" w:type="dxa"/>
        </w:trPr>
        <w:tc>
          <w:tcPr>
            <w:tcW w:w="7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Г </w:t>
            </w:r>
          </w:p>
        </w:tc>
        <w:tc>
          <w:tcPr>
            <w:tcW w:w="6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500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8300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ЛДЦ (ЛД)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80 </w:t>
            </w:r>
          </w:p>
        </w:tc>
        <w:tc>
          <w:tcPr>
            <w:tcW w:w="15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3800 (4300) </w:t>
            </w:r>
          </w:p>
        </w:tc>
      </w:tr>
      <w:tr w:rsidR="00407473" w:rsidRPr="00407473">
        <w:trPr>
          <w:trHeight w:val="270"/>
          <w:tblCellSpacing w:w="7" w:type="dxa"/>
        </w:trPr>
        <w:tc>
          <w:tcPr>
            <w:tcW w:w="750" w:type="pct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Г </w:t>
            </w:r>
          </w:p>
        </w:tc>
        <w:tc>
          <w:tcPr>
            <w:tcW w:w="6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1000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18600 </w:t>
            </w:r>
          </w:p>
        </w:tc>
        <w:tc>
          <w:tcPr>
            <w:tcW w:w="7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ЛХБ (ЛБ) </w:t>
            </w:r>
          </w:p>
        </w:tc>
        <w:tc>
          <w:tcPr>
            <w:tcW w:w="75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80 </w:t>
            </w:r>
          </w:p>
        </w:tc>
        <w:tc>
          <w:tcPr>
            <w:tcW w:w="1500" w:type="pct"/>
            <w:gridSpan w:val="2"/>
            <w:vAlign w:val="center"/>
          </w:tcPr>
          <w:p w:rsidR="00407473" w:rsidRPr="00407473" w:rsidRDefault="00407473" w:rsidP="008F49C3">
            <w:pPr>
              <w:pStyle w:val="a3"/>
              <w:jc w:val="both"/>
            </w:pPr>
            <w:r w:rsidRPr="00407473">
              <w:t xml:space="preserve">5040 (5400) </w:t>
            </w:r>
          </w:p>
        </w:tc>
      </w:tr>
    </w:tbl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светильника, показателя (индекса) помещения, отраженности и т. д., находится в пределах 0,55—0,60, m—число люминесцентных ламп в светильнике.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После расчета светового потока по табл. 3 выбирают ближайшую стандартную лампу и определяют электрическую мощность всей осветительной установки.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По окончании монтажа системы освещения обязательно проверяют освещенность. Если фактическая освещенность отличается от расчетной более чем на —10 и +20%, то изменяют схему расположения светильников или мощность ламп.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4. АВАРИЙНОЕ ОСВЕЩЕНИЕ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Аварийное освещение предназначено для освещения производственных помещений при отключении рабочего освещения. Оно должно быть достаточным для безопасного выхода людей из помещения и продолжения работы в помещениях и на открытых пространствах в тех случаях, когда отключение рабочего освещения может вызвать пожар, взрыв, отравление газами (парами), длительное расстройство технологического процесса, нарушение работы важнейших объектов, таких, как водоснабжение электростанции, узлы радиопередачи и т. п.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Наименьшая освещенность рабочих поверхностей при аварийном режиме должна составлять не менее 2 лк внутри зданий и не менее 1 лк на открытых площадках.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Аварийное освещение для эвакуации людей применяют в следующих случаях: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в производственных помещениях, где постоянно работает персонал, если при выключении рабочего освещения возникает опасность травматизма;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в основных проходах или на лестницах, служащих для эвакуации люден из производственных и общественных зданий, в которых находятся более 50 чел.;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в местах работ на открытых пространствах, если эвакуация работающих связана с повышенной опасностью травматизма;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в непроизводственных помещениях, в которых одновременно могут находиться более 100 чел. (аудитория, красные уголки, залы кино и т. п.).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Аварийное освещение должно создавать освещенность для эвакуации людей по линиям основных проходов на уровне пола (на земле) и на ступенях лестниц не менее 0,5 лк (в помещениях) и 0,2 лк (на открытых площадках).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Светильники аварийного освещения должны быть присоединены к сети, не зависящей от сети рабочего освещения; допускается питание от сети рабочего освещения с автоматическим переключением на независимые источники питания при аварийных ситуациях. Светильники аварийного освещения должны отличаться от светильников рабочего освещения типом, размером или иметь специальные знаки.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Для аварийного освещения разрешается применять как лам пы накаливания, так и люминесцентные лампы (последние при минимальной температуре воздуха не менее 10°С). Применение ламп типов ДРЛ, ДРИ и ксеноновых для этих целей запрещается.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 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 xml:space="preserve">Список использованной литературы: </w:t>
      </w:r>
    </w:p>
    <w:p w:rsidR="00407473" w:rsidRPr="00407473" w:rsidRDefault="00407473" w:rsidP="008F49C3">
      <w:pPr>
        <w:pStyle w:val="a3"/>
        <w:spacing w:before="0" w:beforeAutospacing="0" w:after="0" w:afterAutospacing="0"/>
        <w:ind w:firstLine="709"/>
        <w:jc w:val="both"/>
      </w:pPr>
      <w:r w:rsidRPr="00407473">
        <w:t>Охрана труда в химической промышленности./ Г. В. Макаров, А. Я. Ясин. 1989г.</w:t>
      </w:r>
    </w:p>
    <w:p w:rsidR="00407473" w:rsidRPr="00407473" w:rsidRDefault="00407473" w:rsidP="008F49C3">
      <w:pPr>
        <w:jc w:val="both"/>
      </w:pPr>
    </w:p>
    <w:sectPr w:rsidR="00407473" w:rsidRPr="00407473" w:rsidSect="008F49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73"/>
    <w:rsid w:val="00407473"/>
    <w:rsid w:val="008F49C3"/>
    <w:rsid w:val="00A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4074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07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4074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074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Гигиена освещения </vt:lpstr>
    </vt:vector>
  </TitlesOfParts>
  <Company>HOME</Company>
  <LinksUpToDate>false</LinksUpToDate>
  <CharactersWithSpaces>23864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Гигиена освещения</dc:title>
  <dc:creator>USER</dc:creator>
  <cp:lastModifiedBy>Igor</cp:lastModifiedBy>
  <cp:revision>2</cp:revision>
  <dcterms:created xsi:type="dcterms:W3CDTF">2024-06-02T06:38:00Z</dcterms:created>
  <dcterms:modified xsi:type="dcterms:W3CDTF">2024-06-02T06:38:00Z</dcterms:modified>
</cp:coreProperties>
</file>