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92C59" w:rsidRPr="002A47C0" w:rsidRDefault="00692C59" w:rsidP="002A47C0">
      <w:pPr>
        <w:ind w:firstLine="360"/>
        <w:jc w:val="center"/>
        <w:rPr>
          <w:b/>
          <w:sz w:val="28"/>
          <w:szCs w:val="28"/>
        </w:rPr>
      </w:pPr>
      <w:bookmarkStart w:id="0" w:name="_GoBack"/>
      <w:bookmarkEnd w:id="0"/>
      <w:r w:rsidRPr="002A47C0">
        <w:rPr>
          <w:b/>
          <w:sz w:val="28"/>
          <w:szCs w:val="28"/>
        </w:rPr>
        <w:t>Глава 2. Заболевания пищевода</w:t>
      </w:r>
    </w:p>
    <w:p w:rsidR="00692C59" w:rsidRDefault="00692C59" w:rsidP="002A47C0">
      <w:pPr>
        <w:ind w:firstLine="360"/>
        <w:jc w:val="center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ФУНКЦИОНАЛЬНЫЕ РАССТРОЙСТВА</w:t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  <w:jc w:val="center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Код по МКБ-10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K22.9. Болезнь пищевода неуточненная</w:t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  <w:jc w:val="center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Функциональные расстройства включают следующие симптомы: наличие срыгиваний, рвоты и других проявлений диспепсического синдрома, которые наблюдаются не менее одного раза в неделю за последние 2 мес и более. В их основе лежит ГЭР с ретроградным перемещением, затеканием или забросом желудочного и/или кишечного содержимого в пищевод.</w:t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Этиология и патогенез</w:t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ГЭР является нормальным физиологическим процессом, наблюдаемым у здоровых лиц. Чаще всего он возникает из-за недоразвития нижнего пищеводного сфинктера, что приводит к эпизодам его несвоевременной релаксации. В возникновение этого состояния вносит вклад короткая интраабдоминальная часть пищевода, а также угол Гиса, равный приблизительно 90° у детей грудного возраста (в норме - острый угол) (рис. 2-1).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К 12-18 месячному возрасту жизни практически все возникающие ГЭР исчезают спонтанно, вероятно, в связи с «дозреванием» нижнего пищеводного сфинктера, развитием прямохождения и началом принятия твердой пищи.</w:t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</w:pPr>
    </w:p>
    <w:p w:rsidR="00692C59" w:rsidRPr="002A47C0" w:rsidRDefault="00E6210D" w:rsidP="002A47C0">
      <w:pPr>
        <w:pStyle w:val="txt"/>
        <w:spacing w:before="0" w:beforeAutospacing="0" w:after="0" w:afterAutospacing="0"/>
        <w:ind w:firstLine="36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4635500" cy="4464050"/>
            <wp:effectExtent l="0" t="0" r="0" b="0"/>
            <wp:docPr id="1" name="Рисунок 1" descr="2176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21763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5500" cy="4464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  <w:jc w:val="center"/>
        <w:rPr>
          <w:b/>
          <w:bCs/>
          <w:i/>
        </w:rPr>
      </w:pPr>
    </w:p>
    <w:p w:rsidR="00692C59" w:rsidRPr="002A47C0" w:rsidRDefault="00692C59" w:rsidP="002A47C0">
      <w:pPr>
        <w:pStyle w:val="txt"/>
        <w:spacing w:before="0" w:beforeAutospacing="0" w:after="0" w:afterAutospacing="0"/>
        <w:ind w:firstLine="360"/>
        <w:jc w:val="center"/>
        <w:rPr>
          <w:i/>
        </w:rPr>
      </w:pPr>
      <w:r w:rsidRPr="002A47C0">
        <w:rPr>
          <w:b/>
          <w:bCs/>
          <w:i/>
        </w:rPr>
        <w:t xml:space="preserve">Рис. 2-1. </w:t>
      </w:r>
      <w:r w:rsidRPr="002A47C0">
        <w:rPr>
          <w:i/>
        </w:rPr>
        <w:t>Переход пищевода в желудок</w:t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lastRenderedPageBreak/>
        <w:t>Патологический ГЭР представляет патогенетический механизм, лежащий в основе патологий со снижением тонуса нижнего пищеводного сфинктера, или в случае невозможности его смыкания при ряде органических заболеваний с повышением внутрижелудочного давления. Кроме того, патологический ГЭР развивается на фоне аномалий пищевода, желудка, ДПК. В этом случае ГЭР - проявление указанных заболеваний или является их осложнением.</w:t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Классификация</w:t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  <w:jc w:val="center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Отличия двух видов ГЭР - физиологического и патологического - представлены в табл. 2-1.</w:t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</w:pPr>
    </w:p>
    <w:p w:rsidR="00692C59" w:rsidRPr="002A47C0" w:rsidRDefault="00692C59" w:rsidP="002A47C0">
      <w:pPr>
        <w:pStyle w:val="txt"/>
        <w:spacing w:before="0" w:beforeAutospacing="0" w:after="0" w:afterAutospacing="0"/>
        <w:ind w:firstLine="360"/>
        <w:jc w:val="right"/>
        <w:rPr>
          <w:i/>
        </w:rPr>
      </w:pPr>
      <w:r w:rsidRPr="002A47C0">
        <w:rPr>
          <w:b/>
          <w:bCs/>
          <w:i/>
        </w:rPr>
        <w:t xml:space="preserve">Таблица 2-1. </w:t>
      </w:r>
      <w:r w:rsidRPr="002A47C0">
        <w:rPr>
          <w:i/>
        </w:rPr>
        <w:t>Отличия физиологического и патологического ГЭР</w:t>
      </w:r>
    </w:p>
    <w:p w:rsidR="00692C59" w:rsidRDefault="00E6210D" w:rsidP="002A47C0">
      <w:pPr>
        <w:pStyle w:val="txt"/>
        <w:spacing w:before="0" w:beforeAutospacing="0" w:after="0" w:afterAutospacing="0"/>
        <w:ind w:firstLine="360"/>
      </w:pPr>
      <w:r>
        <w:rPr>
          <w:noProof/>
        </w:rPr>
        <w:drawing>
          <wp:inline distT="0" distB="0" distL="0" distR="0">
            <wp:extent cx="5257800" cy="3835400"/>
            <wp:effectExtent l="0" t="0" r="0" b="0"/>
            <wp:docPr id="2" name="Рисунок 2" descr="2176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21764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57800" cy="3835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Согласно Римским критериям (2004), у новорожденных и грудных детей различают следующие варианты функциональных расстройств пищевода: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детскую регургитацию;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синдром детской руминации;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синдром циклической рвоты.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У детей старше года и подростков рвота и аэрофагия подразделяются на следующие виды: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функциональную регургитацию (срыгивания);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синдром руминации у подростков;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синдром циклической рвоты;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аэрофагию.</w:t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Клиническая картина</w:t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  <w:jc w:val="center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Многообразные клинические проявления функциональных расстройств пищевода приведены в табл. 2-2.</w:t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</w:pPr>
    </w:p>
    <w:p w:rsidR="00692C59" w:rsidRPr="002A47C0" w:rsidRDefault="00692C59" w:rsidP="002A47C0">
      <w:pPr>
        <w:pStyle w:val="txt"/>
        <w:spacing w:before="0" w:beforeAutospacing="0" w:after="0" w:afterAutospacing="0"/>
        <w:ind w:firstLine="360"/>
        <w:jc w:val="right"/>
        <w:rPr>
          <w:i/>
        </w:rPr>
      </w:pPr>
      <w:r w:rsidRPr="002A47C0">
        <w:rPr>
          <w:b/>
          <w:bCs/>
          <w:i/>
        </w:rPr>
        <w:t xml:space="preserve">Таблица 2-2. </w:t>
      </w:r>
      <w:r w:rsidRPr="002A47C0">
        <w:rPr>
          <w:i/>
        </w:rPr>
        <w:t>Варианты функциональных расстройств пищевода</w:t>
      </w:r>
    </w:p>
    <w:p w:rsidR="00692C59" w:rsidRDefault="00E6210D" w:rsidP="002A47C0">
      <w:pPr>
        <w:pStyle w:val="txt"/>
        <w:spacing w:before="0" w:beforeAutospacing="0" w:after="0" w:afterAutospacing="0"/>
        <w:ind w:firstLine="360"/>
        <w:jc w:val="center"/>
      </w:pPr>
      <w:r>
        <w:rPr>
          <w:noProof/>
        </w:rPr>
        <w:drawing>
          <wp:inline distT="0" distB="0" distL="0" distR="0">
            <wp:extent cx="5060950" cy="5213350"/>
            <wp:effectExtent l="0" t="0" r="6350" b="6350"/>
            <wp:docPr id="3" name="Рисунок 3" descr="2176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21765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5213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A47C0" w:rsidRDefault="002A47C0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У пациентов с умеренным ГЭР без осложнений диагноз может быть установлен клинически, и лечение проводят без дополнительной диагностики. Однако, если анамнез не типичен или имеются такие осложнения, как боль, кровотечение, легочная аспирация, апноэ и т.д., показаны дальнейшие исследования.</w:t>
      </w:r>
    </w:p>
    <w:p w:rsidR="00692C59" w:rsidRDefault="00E6210D" w:rsidP="00252EBE">
      <w:pPr>
        <w:pStyle w:val="txt"/>
        <w:spacing w:before="0" w:beforeAutospacing="0" w:after="0" w:afterAutospacing="0"/>
        <w:ind w:firstLine="360"/>
        <w:jc w:val="center"/>
      </w:pPr>
      <w:r>
        <w:rPr>
          <w:noProof/>
        </w:rPr>
        <w:lastRenderedPageBreak/>
        <w:drawing>
          <wp:inline distT="0" distB="0" distL="0" distR="0">
            <wp:extent cx="5372100" cy="5372100"/>
            <wp:effectExtent l="0" t="0" r="0" b="0"/>
            <wp:docPr id="4" name="Рисунок 4" descr="2176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21766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72100" cy="5372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  <w:rPr>
          <w:b/>
          <w:bCs/>
        </w:rPr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Диагностика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Для диагностики ГЭР наиболее информативной является суточная внутрижелудочная рН-метрия (рис. 2-2). Она позволяет определить общее количество эпизодов рефлюкса в течение суток и их продолжительность.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Pr="00252EBE" w:rsidRDefault="00E6210D" w:rsidP="00252EBE">
      <w:pPr>
        <w:pStyle w:val="txt"/>
        <w:spacing w:before="0" w:beforeAutospacing="0" w:after="0" w:afterAutospacing="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949950" cy="2120900"/>
            <wp:effectExtent l="0" t="0" r="0" b="0"/>
            <wp:docPr id="5" name="Рисунок 5" descr="2176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21767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212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9" w:rsidRPr="00252EBE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i/>
        </w:rPr>
      </w:pPr>
      <w:r w:rsidRPr="00252EBE">
        <w:rPr>
          <w:b/>
          <w:bCs/>
          <w:i/>
        </w:rPr>
        <w:t xml:space="preserve">Рис. 2-2. </w:t>
      </w:r>
      <w:r w:rsidRPr="00252EBE">
        <w:rPr>
          <w:i/>
        </w:rPr>
        <w:t>Оборудование для рН-метрии желудка и фрагмент суточной рН-граммы пациента</w:t>
      </w:r>
    </w:p>
    <w:p w:rsidR="00692C59" w:rsidRDefault="00E6210D" w:rsidP="00252EBE">
      <w:pPr>
        <w:pStyle w:val="txt"/>
        <w:spacing w:before="0" w:beforeAutospacing="0" w:after="0" w:afterAutospacing="0"/>
        <w:ind w:firstLine="360"/>
        <w:jc w:val="center"/>
      </w:pPr>
      <w:r>
        <w:rPr>
          <w:noProof/>
        </w:rPr>
        <w:lastRenderedPageBreak/>
        <w:drawing>
          <wp:inline distT="0" distB="0" distL="0" distR="0">
            <wp:extent cx="4806950" cy="1936750"/>
            <wp:effectExtent l="0" t="0" r="0" b="6350"/>
            <wp:docPr id="6" name="Рисунок 6" descr="2176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21768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69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Могут потребоваться рентгеноконтрастные исследования верхних отделов пищеварительной системы для исключения анатомических аномалий пищевода, желудка и ДПК и незавершенного поворота кишечника.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При подозрении на эзофагит проводят эндоскопическое исследование с биопсией пищевода. Используют УЗИ и другие инструментальные методы исследования (см. «Гастроэзофагеальная рефлюксная болезнь»).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Дифференциальная диагностика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Рвота, регургитация и другие симптомы - типичные проблемы в младенчестве и детском возрасте, однако необходимо исключить множество заболеваний с учетом возраста ребенка (рис. 2-3).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Pr="00252EBE" w:rsidRDefault="00E6210D" w:rsidP="00252EBE">
      <w:pPr>
        <w:pStyle w:val="txt"/>
        <w:spacing w:before="0" w:beforeAutospacing="0" w:after="0" w:afterAutospacing="0"/>
        <w:ind w:firstLine="360"/>
        <w:jc w:val="center"/>
        <w:rPr>
          <w:i/>
        </w:rPr>
      </w:pPr>
      <w:r>
        <w:rPr>
          <w:i/>
          <w:noProof/>
        </w:rPr>
        <w:drawing>
          <wp:inline distT="0" distB="0" distL="0" distR="0">
            <wp:extent cx="5600700" cy="4660900"/>
            <wp:effectExtent l="0" t="0" r="0" b="6350"/>
            <wp:docPr id="7" name="Рисунок 7" descr="2176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21769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00700" cy="46609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9" w:rsidRPr="00252EBE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i/>
        </w:rPr>
      </w:pPr>
      <w:r w:rsidRPr="00252EBE">
        <w:rPr>
          <w:b/>
          <w:bCs/>
          <w:i/>
        </w:rPr>
        <w:t xml:space="preserve">Рис. 2-3. </w:t>
      </w:r>
      <w:r w:rsidRPr="00252EBE">
        <w:rPr>
          <w:i/>
        </w:rPr>
        <w:t>Причины регургитации и/или рвоты у детей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Лечение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Лечение детей проводят в соответствии с общими принципами терапии функциональных нарушений и начинают с устранения первопричины, однако иногда требуется привлечение невропатолога, психолога или психоневролога.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 xml:space="preserve">Детей раннего возраста при кормлении следует держать под углом 45-60°, после кормления - в вертикальном положении (позиционная, или постуральная, терапия); при кормлении из бутылочки следует использовать тугие соски, имитирующие сосок матери. Детям старшего возраста с ГЭР необходимо спать с приподнятым не менее чем на </w:t>
      </w:r>
      <w:smartTag w:uri="urn:schemas-microsoft-com:office:smarttags" w:element="metricconverter">
        <w:smartTagPr>
          <w:attr w:name="ProductID" w:val="15 см"/>
        </w:smartTagPr>
        <w:r>
          <w:t>15 см</w:t>
        </w:r>
      </w:smartTag>
      <w:r>
        <w:t xml:space="preserve"> головным концом кровати, избегать ношения тесной одежды и тугих поясов, выполнения физических упражнений, связанных с перенапряжением мышц брюшного пресса, глубоких наклонов, длительного пребывания в согнутом положении, поднятия руками тяжестей более 8-</w:t>
      </w:r>
      <w:smartTag w:uri="urn:schemas-microsoft-com:office:smarttags" w:element="metricconverter">
        <w:smartTagPr>
          <w:attr w:name="ProductID" w:val="10 кг"/>
        </w:smartTagPr>
        <w:r>
          <w:t>10 кг</w:t>
        </w:r>
      </w:smartTag>
      <w:r>
        <w:t xml:space="preserve"> на обе руки. Больным с ожирением рекомендуется снижение массы тела. Если подросток курит, от этой привычки необходимо отказаться.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E6210D" w:rsidP="00252EBE">
      <w:pPr>
        <w:pStyle w:val="txt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715000" cy="5219700"/>
            <wp:effectExtent l="0" t="0" r="0" b="0"/>
            <wp:docPr id="8" name="Рисунок 8" descr="2177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21770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5219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По возможности следует избегать приема препаратов, снижающих тонус нижнего пищеводного сфинктера, в том числе седативных средств, снотворных, транквилизаторов, теофиллина, холинолитиков, β-адреномиметиков.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 xml:space="preserve">В настоящее время существует два подхода к выбору терапевтической тактики при ГЭР. В первом случае </w:t>
      </w:r>
      <w:r>
        <w:rPr>
          <w:i/>
          <w:iCs/>
        </w:rPr>
        <w:t>(step-up</w:t>
      </w:r>
      <w:r w:rsidR="006E70AF">
        <w:rPr>
          <w:i/>
          <w:iCs/>
        </w:rPr>
        <w:t xml:space="preserve"> </w:t>
      </w:r>
      <w:r>
        <w:t xml:space="preserve">схема) лечение начинают с организации режима и питания </w:t>
      </w:r>
      <w:r>
        <w:lastRenderedPageBreak/>
        <w:t xml:space="preserve">пациента, а при неэффективности в терапию вводят прокинетики и далее - антисекреторные препараты. При альтернативной </w:t>
      </w:r>
      <w:r>
        <w:rPr>
          <w:i/>
          <w:iCs/>
        </w:rPr>
        <w:t>(step-down</w:t>
      </w:r>
      <w:r w:rsidR="006E70AF">
        <w:rPr>
          <w:i/>
          <w:iCs/>
        </w:rPr>
        <w:t xml:space="preserve"> </w:t>
      </w:r>
      <w:r w:rsidRPr="006E70AF">
        <w:rPr>
          <w:iCs/>
        </w:rPr>
        <w:t>схеме</w:t>
      </w:r>
      <w:r>
        <w:rPr>
          <w:i/>
          <w:iCs/>
        </w:rPr>
        <w:t xml:space="preserve">) </w:t>
      </w:r>
      <w:r>
        <w:t>лечение начинают с полного комплекса средств, прием которых в дальнейшем уменьшается на фоне достижения эффекта.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Прокинетики: домперидон (мотилиум*, мотилак*), метаклопрамид (церукал*) - являются антагонистами дофаминовых рецепторов ЖКТ и, как следствие, усиливают холинергическую стимуляцию, что приводит к повышению тонуса сфинктеров и ускорению моторики. В отличие от домперидона, метаклопрамид проникает через гематоэнцефалический барьер и вызывает побочные эффекты (экстрапирамидные расстройства, ощущение сонливости, усталости, беспокойство), поэтому его назначают короткими курсами.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Применение антисекреторных препаратов: блокаторов Н2-гистаминовых рецепторов и ингибиторов протонного насоса (ИПН) - показано у детей старшего возраста лишь в</w:t>
      </w:r>
      <w:r w:rsidR="00252EBE">
        <w:t xml:space="preserve"> </w:t>
      </w:r>
      <w:r>
        <w:t>тяжелых случаях ГЭР, не поддающихся устранению другими средствами. Эффективность препаратов этой группы при ГЭР связана не только со снижением желудочной секреции, но в первую очередь с повышением тонуса нижнего пищеводного сфинктера. Обычно показания к их назначению возникают уже в случае сформировавшейся ГЭРБ.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Профилактика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У детей раннего возраста необходимо использовать антирефлюксные смеси, после кормления удерживать ребенка в вертикальном положении. Профилактика функциональных расстройств пищевода заключается в изменении образа жизни пациента, соблюдении диетотерапии. Диспансерное наблюдение проводят согласно II группе учета. Если есть подозрения о наличии осложнений, проводят дополнительные исследования.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  <w:rPr>
          <w:b/>
          <w:bCs/>
        </w:rPr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Прогноз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Прогноз благоприятный. Однако развитие воспалительного процесса в пищеводе (рефлюкс-эзофагит) или связанных с функциональным ГЭР внепищеводных патологических процессов (поражение дыхательных путей, полости рта и зубов в результате высокого заброса желудочного содержимого, а также возникновение патологических рефлексов в результате раздражения слизистой оболочки пищевода) может обусловить развитие ГЭРБ и переход от функциональной патологии к органической.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ГАСТРОЭЗОФАГЕАЛЬНАЯ РЕФЛЮКСНАЯ БОЛЕЗНЬ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Код по МКБ-10</w:t>
      </w: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K21. Гастроэзофагеальная рефлюксная болезнь.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ГЭРБ - хроническое рецидивирующее заболевание, обусловленное спонтанным, регулярно повторяющимся забросом в пищевод желудочного и/или дуоденального содержимого, приводящим к поражению нижнего отдела пищевода.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Истинная частота ГЭРБ у детей и взрослых не уточнена. Разброс данных о распространенности ГЭРБ у детей с заболеваниями гастродуоденальной зоны в нашей стране значительный - от 8,7 до 49,0%. Соотношение ГЭРБ у лиц мужского и женского пола любого возраста составляет 2-3 : 1.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Этиология и патогенез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lastRenderedPageBreak/>
        <w:t>ГЭРБ - многофакторное заболевание, непосредственной причиной которого является ГЭР. Выделяют два вида ГЭР: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кислотный рефлюкс - снижение рН в пищеводе до уровня 4,0 и менее вследствие попадания в его полость кислого желудочного содержимого;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щелочной рефлюкс - повышение рН в пищеводе до уровня более 7,5 при попадании в его полость дуоденального содержимого (желчи и панкреатического сока).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Среди множества факторов, обусловливающих возникновение ГЭР, ведущим является нарушение запирательного механизма кардии, возникающее вследствие незрелости нижнего пищеводного сфинктера. Однако у больных ГЭРБ чаще имеет место абсолютная недостаточность кардии, которая может возникать вследствие оперативных вмешательств на кардии и пищеводе, при пороках развития пищевода, морфофункциональной незрелости вегетативной нервной системы, респираторных расстройствах, пищевой аллергии и т.д.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Предрасполагающие и провоцирующие факторы развития ГЭРБ представлены в табл. 2-3.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right"/>
        <w:rPr>
          <w:b/>
          <w:bCs/>
          <w:i/>
        </w:rPr>
      </w:pPr>
    </w:p>
    <w:p w:rsidR="00692C59" w:rsidRPr="00252EBE" w:rsidRDefault="00692C59" w:rsidP="00252EBE">
      <w:pPr>
        <w:pStyle w:val="txt"/>
        <w:spacing w:before="0" w:beforeAutospacing="0" w:after="0" w:afterAutospacing="0"/>
        <w:ind w:firstLine="360"/>
        <w:jc w:val="right"/>
        <w:rPr>
          <w:i/>
        </w:rPr>
      </w:pPr>
      <w:r w:rsidRPr="00252EBE">
        <w:rPr>
          <w:b/>
          <w:bCs/>
          <w:i/>
        </w:rPr>
        <w:t xml:space="preserve">Таблица 2-3. </w:t>
      </w:r>
      <w:r w:rsidRPr="00252EBE">
        <w:rPr>
          <w:i/>
        </w:rPr>
        <w:t>Факторы риска развития ГЭРБ</w:t>
      </w:r>
    </w:p>
    <w:p w:rsidR="00692C59" w:rsidRDefault="00E6210D" w:rsidP="006C6E0B">
      <w:pPr>
        <w:pStyle w:val="txt"/>
        <w:spacing w:before="0" w:beforeAutospacing="0" w:after="0" w:afterAutospacing="0"/>
        <w:ind w:firstLine="360"/>
        <w:jc w:val="center"/>
      </w:pPr>
      <w:r>
        <w:rPr>
          <w:noProof/>
        </w:rPr>
        <w:drawing>
          <wp:inline distT="0" distB="0" distL="0" distR="0">
            <wp:extent cx="4826000" cy="3117850"/>
            <wp:effectExtent l="0" t="0" r="0" b="6350"/>
            <wp:docPr id="9" name="Рисунок 9" descr="2177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21771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6000" cy="3117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Основное условие предупреждения ГЭРБ - нормальное функционирование нижнего пищеводного сфинктера</w:t>
      </w:r>
      <w:r w:rsidR="00252EBE">
        <w:t xml:space="preserve"> </w:t>
      </w:r>
      <w:r>
        <w:t>(рис. 2-4).</w:t>
      </w:r>
    </w:p>
    <w:p w:rsidR="00692C59" w:rsidRDefault="00E6210D" w:rsidP="00252EBE">
      <w:pPr>
        <w:pStyle w:val="txt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715000" cy="2419350"/>
            <wp:effectExtent l="0" t="0" r="0" b="0"/>
            <wp:docPr id="10" name="Рисунок 10" descr="2177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21772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2419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692C59" w:rsidRPr="00252EBE" w:rsidRDefault="00692C59" w:rsidP="00252EBE">
      <w:pPr>
        <w:pStyle w:val="txt"/>
        <w:spacing w:before="0" w:beforeAutospacing="0" w:after="0" w:afterAutospacing="0"/>
        <w:jc w:val="center"/>
        <w:rPr>
          <w:i/>
        </w:rPr>
      </w:pPr>
      <w:r w:rsidRPr="00252EBE">
        <w:rPr>
          <w:b/>
          <w:bCs/>
          <w:i/>
        </w:rPr>
        <w:t xml:space="preserve">Рис. 2-4. </w:t>
      </w:r>
      <w:r w:rsidRPr="00252EBE">
        <w:rPr>
          <w:i/>
        </w:rPr>
        <w:t>«Весы» при ГЭРБ: агрессивные и защитные факторы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Механизмы формирования дисфункции нижнего пищеводного сфинктера следующие.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Первичное снижение давления сфинктера.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Увеличение количества и продолжительности эпизодов преходящего расслабления сфинктера, к которому могут приводить его транзиторная релаксация, постоянная релаксация, временное повышение внутрибрюшного давления.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Полная или частичная деструкция сфинктера (при развитии грыжи пищеводного отверстия диафрагмы).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Патогенез ГЭРБ по аналогии с патогенезом ЯБ («весами» Шея) можно представить в виде весов, где перевешивают агрессивные факторы (см. рис. 2-4).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Классификация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Общепринятой классификации ГЭРБ как заболевания не существует, рабочая классификация представлена в табл. 2-4.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Pr="00252EBE" w:rsidRDefault="00692C59" w:rsidP="00252EBE">
      <w:pPr>
        <w:pStyle w:val="txt"/>
        <w:spacing w:before="0" w:beforeAutospacing="0" w:after="0" w:afterAutospacing="0"/>
        <w:ind w:firstLine="360"/>
        <w:jc w:val="right"/>
        <w:rPr>
          <w:i/>
        </w:rPr>
      </w:pPr>
      <w:r w:rsidRPr="00252EBE">
        <w:rPr>
          <w:b/>
          <w:bCs/>
          <w:i/>
        </w:rPr>
        <w:t xml:space="preserve">Таблица 2-4. </w:t>
      </w:r>
      <w:r w:rsidRPr="00252EBE">
        <w:rPr>
          <w:i/>
        </w:rPr>
        <w:t>Классификация ГЭРБ</w:t>
      </w:r>
    </w:p>
    <w:p w:rsidR="00692C59" w:rsidRDefault="00E6210D" w:rsidP="00252EBE">
      <w:pPr>
        <w:pStyle w:val="txt"/>
        <w:spacing w:before="0" w:beforeAutospacing="0" w:after="0" w:afterAutospacing="0"/>
        <w:ind w:firstLine="360"/>
        <w:jc w:val="center"/>
      </w:pPr>
      <w:r>
        <w:rPr>
          <w:noProof/>
        </w:rPr>
        <w:drawing>
          <wp:inline distT="0" distB="0" distL="0" distR="0">
            <wp:extent cx="5060950" cy="2584450"/>
            <wp:effectExtent l="0" t="0" r="6350" b="6350"/>
            <wp:docPr id="11" name="Рисунок 11" descr="2177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21773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2584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  <w:rPr>
          <w:b/>
          <w:bCs/>
        </w:rPr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Клиническая картина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При ГЭРБ принято выделять эзофагеальные и экстраэзофагеальные симптомы.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 xml:space="preserve">К </w:t>
      </w:r>
      <w:r>
        <w:rPr>
          <w:i/>
          <w:iCs/>
        </w:rPr>
        <w:t xml:space="preserve">эзофагеальным симптомам </w:t>
      </w:r>
      <w:r>
        <w:t>относятся: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изжога;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регургитация;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симптом мокрого пятна;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отрыжка воздухом, кислым, горьким;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периодическая боль за грудиной, боль или неприятные ощущения при глотании (одинофагия);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 xml:space="preserve">• расстройство акта глотания (дисфагия). </w:t>
      </w:r>
      <w:r>
        <w:rPr>
          <w:i/>
          <w:iCs/>
        </w:rPr>
        <w:t xml:space="preserve">Экстраэзофагеальные симптомы </w:t>
      </w:r>
      <w:r>
        <w:t>включают жалобы, свидетельствующие о вовлечении в процесс дыхательной, сердечно-сосудистой и других систем, лор-органов.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Распространенность ГЭР при бронхиальной астме у детей колеблется от 9 до 80%, имеются связи ГЭР с другими заболеваниями бронхолегочной системы: хронической пневмонией, рецидивирующим и хроническим бронхитом, затяжным бронхитом, муковисцидозом.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К ГЭР-ассоциированным кардиоваскулярным проявлениям относят аритмии вследствие инициации эзофагокардиального рефлекса.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lastRenderedPageBreak/>
        <w:t>Оториноларингологические симптомы: покашливание, «застревание» пищи в горле или чувство комка, першения в горле, охриплость голоса, боли в ухе.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Стоматологические симптомы: эрозии эмали зубов, кариес зубов.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E6210D" w:rsidP="00252EBE">
      <w:pPr>
        <w:pStyle w:val="txt"/>
        <w:spacing w:before="0" w:beforeAutospacing="0" w:after="0" w:afterAutospacing="0"/>
        <w:jc w:val="center"/>
      </w:pPr>
      <w:r>
        <w:rPr>
          <w:noProof/>
        </w:rPr>
        <w:drawing>
          <wp:inline distT="0" distB="0" distL="0" distR="0">
            <wp:extent cx="5949950" cy="1822450"/>
            <wp:effectExtent l="0" t="0" r="0" b="6350"/>
            <wp:docPr id="12" name="Рисунок 12" descr="2177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21774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950" cy="1822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Диагностика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Золотым стандартом диагностики считается внутрипищеводная рН-метрия (суточное рН-мониторирование) (табл. 2-5).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Pr="00252EBE" w:rsidRDefault="00692C59" w:rsidP="00252EBE">
      <w:pPr>
        <w:pStyle w:val="txt"/>
        <w:spacing w:before="0" w:beforeAutospacing="0" w:after="0" w:afterAutospacing="0"/>
        <w:ind w:firstLine="360"/>
        <w:jc w:val="right"/>
        <w:rPr>
          <w:i/>
        </w:rPr>
      </w:pPr>
      <w:r w:rsidRPr="00252EBE">
        <w:rPr>
          <w:b/>
          <w:bCs/>
          <w:i/>
        </w:rPr>
        <w:t xml:space="preserve">Таблица 2-5. </w:t>
      </w:r>
      <w:r w:rsidRPr="00252EBE">
        <w:rPr>
          <w:i/>
        </w:rPr>
        <w:t>Методы диагностики ГЭРБ</w:t>
      </w:r>
    </w:p>
    <w:p w:rsidR="00692C59" w:rsidRDefault="00E6210D" w:rsidP="00252EBE">
      <w:pPr>
        <w:pStyle w:val="txt"/>
        <w:spacing w:before="0" w:beforeAutospacing="0" w:after="0" w:afterAutospacing="0"/>
        <w:ind w:firstLine="360"/>
        <w:jc w:val="center"/>
      </w:pPr>
      <w:r>
        <w:rPr>
          <w:noProof/>
        </w:rPr>
        <w:drawing>
          <wp:inline distT="0" distB="0" distL="0" distR="0">
            <wp:extent cx="5060950" cy="4908550"/>
            <wp:effectExtent l="0" t="0" r="6350" b="6350"/>
            <wp:docPr id="13" name="Рисунок 13" descr="2177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21775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490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 xml:space="preserve">При оценке полученных результатов используют нормативные показатели, разработанные </w:t>
      </w:r>
      <w:r>
        <w:rPr>
          <w:i/>
          <w:iCs/>
        </w:rPr>
        <w:t xml:space="preserve">T.R. DeMeester </w:t>
      </w:r>
      <w:r>
        <w:t>(1993), для детей старше 12 лет и взрослых (табл. 2-6).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right"/>
        <w:rPr>
          <w:b/>
          <w:bCs/>
          <w:i/>
        </w:rPr>
      </w:pPr>
    </w:p>
    <w:p w:rsidR="00692C59" w:rsidRPr="00252EBE" w:rsidRDefault="00692C59" w:rsidP="00252EBE">
      <w:pPr>
        <w:pStyle w:val="txt"/>
        <w:spacing w:before="0" w:beforeAutospacing="0" w:after="0" w:afterAutospacing="0"/>
        <w:ind w:firstLine="360"/>
        <w:jc w:val="right"/>
        <w:rPr>
          <w:i/>
        </w:rPr>
      </w:pPr>
      <w:r w:rsidRPr="00252EBE">
        <w:rPr>
          <w:b/>
          <w:bCs/>
          <w:i/>
        </w:rPr>
        <w:t xml:space="preserve">Таблица 2-6. </w:t>
      </w:r>
      <w:r w:rsidRPr="00252EBE">
        <w:rPr>
          <w:i/>
        </w:rPr>
        <w:t>Нормальные показатели 24-часового рН-мониторирования</w:t>
      </w:r>
    </w:p>
    <w:p w:rsidR="00692C59" w:rsidRDefault="00E6210D" w:rsidP="002A47C0">
      <w:pPr>
        <w:pStyle w:val="txt"/>
        <w:spacing w:before="0" w:beforeAutospacing="0" w:after="0" w:afterAutospacing="0"/>
        <w:ind w:firstLine="360"/>
      </w:pPr>
      <w:r>
        <w:rPr>
          <w:noProof/>
        </w:rPr>
        <w:drawing>
          <wp:inline distT="0" distB="0" distL="0" distR="0">
            <wp:extent cx="5060950" cy="1098550"/>
            <wp:effectExtent l="0" t="0" r="6350" b="6350"/>
            <wp:docPr id="14" name="Рисунок 14" descr="2177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21776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098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При УЗИ определяют диаметр пищевода у детей, в норме равный 7-</w:t>
      </w:r>
      <w:smartTag w:uri="urn:schemas-microsoft-com:office:smarttags" w:element="metricconverter">
        <w:smartTagPr>
          <w:attr w:name="ProductID" w:val="10 мм"/>
        </w:smartTagPr>
        <w:r>
          <w:t>10 мм</w:t>
        </w:r>
      </w:smartTag>
      <w:r>
        <w:t xml:space="preserve">. Диаметр нижней трети пищевода более </w:t>
      </w:r>
      <w:smartTag w:uri="urn:schemas-microsoft-com:office:smarttags" w:element="metricconverter">
        <w:smartTagPr>
          <w:attr w:name="ProductID" w:val="11 мм"/>
        </w:smartTagPr>
        <w:r>
          <w:t>11 мм</w:t>
        </w:r>
      </w:smartTag>
      <w:r>
        <w:t xml:space="preserve"> (во время глотка - </w:t>
      </w:r>
      <w:smartTag w:uri="urn:schemas-microsoft-com:office:smarttags" w:element="metricconverter">
        <w:smartTagPr>
          <w:attr w:name="ProductID" w:val="13 мм"/>
        </w:smartTagPr>
        <w:r>
          <w:t>13 мм</w:t>
        </w:r>
      </w:smartTag>
      <w:r>
        <w:t>) может указывать на выраженную недостаточность кардии. При двойном допплеровском контроле можно зафиксировать обратное движение жидкости из желудка в пищевод. Эндоскопическое исследование позволяет оценить состояние слизистой оболочки, наличие осложнений ГЭРБ: эрозивного эзофагита (рис. 2-5, а), пептической стриктуры пищевода (рис. 2-5, б), кандидоза пищевода (рис. 2-5, в).</w:t>
      </w:r>
    </w:p>
    <w:p w:rsidR="00692C59" w:rsidRDefault="00E6210D" w:rsidP="00252EBE">
      <w:pPr>
        <w:pStyle w:val="txt"/>
        <w:spacing w:before="0" w:beforeAutospacing="0" w:after="0" w:afterAutospacing="0"/>
      </w:pPr>
      <w:r>
        <w:rPr>
          <w:noProof/>
        </w:rPr>
        <w:drawing>
          <wp:inline distT="0" distB="0" distL="0" distR="0">
            <wp:extent cx="6051550" cy="1936750"/>
            <wp:effectExtent l="0" t="0" r="6350" b="6350"/>
            <wp:docPr id="15" name="Рисунок 15" descr="2177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21777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3" b="1516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51550" cy="193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  <w:rPr>
          <w:b/>
          <w:bCs/>
        </w:rPr>
      </w:pPr>
      <w:r>
        <w:rPr>
          <w:b/>
          <w:bCs/>
        </w:rPr>
        <w:t xml:space="preserve">            а                                                       б                                                   в</w:t>
      </w:r>
    </w:p>
    <w:p w:rsidR="00252EBE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i/>
        </w:rPr>
      </w:pPr>
      <w:r w:rsidRPr="00252EBE">
        <w:rPr>
          <w:b/>
          <w:bCs/>
          <w:i/>
        </w:rPr>
        <w:t xml:space="preserve">Рис. 2-5. </w:t>
      </w:r>
      <w:r w:rsidRPr="00252EBE">
        <w:rPr>
          <w:i/>
        </w:rPr>
        <w:t xml:space="preserve">Эндоскопическая картина при ГЭРБ: </w:t>
      </w:r>
    </w:p>
    <w:p w:rsidR="00692C59" w:rsidRPr="00252EBE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i/>
        </w:rPr>
      </w:pPr>
      <w:r w:rsidRPr="00252EBE">
        <w:rPr>
          <w:i/>
        </w:rPr>
        <w:t>а - эрозивный эзофагит; б - пептическая стриктура пищевода; в - кандидоз пищевода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Прицельную биопсию слизистой оболочки пищевода с последующим гистологическим исследованием материала проводят при расхождении между рентгенологическими и эндоскопическими данными, атипичном течении эрозивно</w:t>
      </w:r>
      <w:r w:rsidR="006E70AF">
        <w:t>-</w:t>
      </w:r>
      <w:r>
        <w:t>язвенного эзофагита, при подозрении на метапластический процесс в пищеводе.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Патоморфология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Вариантами гистологического заключения являются разные степени воспаления слизистой оболочки пищевода, реже определяют воспалительно-дистрофические изменения, значительно реже - метапластические изменения и казуистически редко - признаки злокачественного перерождения. У детей чаще обнаруживают гиперплазию эпителия в виде утолщения слоя базальных клеток и удлинения сосочков, инфильтрацию лимфоцитами и плазматическими клетками, полнокровие сосудов подслизистого слоя.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Дифференциальная диагностика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При дисфагии важно исключить доброкачественные и злокачественные опухоли пищевода и непептические стриктуры пищевода (химические, лекарственные, при болезни Крона, инфекционных эзофагитах).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 xml:space="preserve">При желудочно-кишечном кровотечении ГЭРБ дифференцируют от синдрома Маллори-Вейсса, кровотечения из варикозно расширенных вен пищевода, кровотечений, </w:t>
      </w:r>
      <w:r>
        <w:lastRenderedPageBreak/>
        <w:t>осложняющих течение ЯБ. Для этого выполняют клинический анализ крови (содержание эритроцитов, гемоглобина, гематокрита), анализ кала на скрытую кровь, определяют уровень железа в сыворотке крови.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При болевом синдроме в грудной клетке дифференциальную диагностику проводят со стенокардией. С этой целью выполняют кардиологические исследования.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При бронхоспазмах исключают бронхиальную астму, хронический бронхит. Таким пациентам проводят исследование функции внешнего дыхания, рентгенографию и т.д.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Лечение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Лечебные мероприятия при ГЭРБ базируются на трех основных принципах: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немедикаментозных методах (нормализации образа жизни, режима дня и питания) (табл. 2-7);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консервативной терапии;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хирургической коррекции.</w:t>
      </w:r>
    </w:p>
    <w:p w:rsidR="00692C59" w:rsidRDefault="00E6210D" w:rsidP="002A47C0">
      <w:pPr>
        <w:pStyle w:val="txt"/>
        <w:spacing w:before="0" w:beforeAutospacing="0" w:after="0" w:afterAutospacing="0"/>
        <w:ind w:firstLine="360"/>
      </w:pPr>
      <w:r>
        <w:rPr>
          <w:noProof/>
        </w:rPr>
        <w:drawing>
          <wp:inline distT="0" distB="0" distL="0" distR="0">
            <wp:extent cx="5060950" cy="3581400"/>
            <wp:effectExtent l="0" t="0" r="6350" b="0"/>
            <wp:docPr id="16" name="Рисунок 16" descr="2177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21778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3581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right"/>
        <w:rPr>
          <w:b/>
          <w:bCs/>
          <w:i/>
        </w:rPr>
      </w:pPr>
    </w:p>
    <w:p w:rsidR="00692C59" w:rsidRPr="00252EBE" w:rsidRDefault="00692C59" w:rsidP="00252EBE">
      <w:pPr>
        <w:pStyle w:val="txt"/>
        <w:spacing w:before="0" w:beforeAutospacing="0" w:after="0" w:afterAutospacing="0"/>
        <w:ind w:firstLine="360"/>
        <w:jc w:val="right"/>
        <w:rPr>
          <w:i/>
        </w:rPr>
      </w:pPr>
      <w:r w:rsidRPr="00252EBE">
        <w:rPr>
          <w:b/>
          <w:bCs/>
          <w:i/>
        </w:rPr>
        <w:t xml:space="preserve">Таблица 2-7. </w:t>
      </w:r>
      <w:r w:rsidRPr="00252EBE">
        <w:rPr>
          <w:i/>
        </w:rPr>
        <w:t>Изменение стиля жизни при ГЭРБ</w:t>
      </w:r>
    </w:p>
    <w:p w:rsidR="00692C59" w:rsidRDefault="00E6210D" w:rsidP="002A47C0">
      <w:pPr>
        <w:pStyle w:val="txt"/>
        <w:spacing w:before="0" w:beforeAutospacing="0" w:after="0" w:afterAutospacing="0"/>
        <w:ind w:firstLine="360"/>
      </w:pPr>
      <w:r>
        <w:rPr>
          <w:noProof/>
        </w:rPr>
        <w:lastRenderedPageBreak/>
        <w:drawing>
          <wp:inline distT="0" distB="0" distL="0" distR="0">
            <wp:extent cx="5060950" cy="4978400"/>
            <wp:effectExtent l="0" t="0" r="6350" b="0"/>
            <wp:docPr id="17" name="Рисунок 17" descr="2177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21779"/>
                    <pic:cNvPicPr>
                      <a:picLocks noChangeAspect="1" noChangeArrowheads="1"/>
                    </pic:cNvPicPr>
                  </pic:nvPicPr>
                  <pic:blipFill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49784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В настоящее время используют три основные стратегии лечения ГЭРБ: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• монотерапию - применение одного антирефлюксного препарата;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 xml:space="preserve">• комплексную, поэтапно усиливающуюся </w:t>
      </w:r>
      <w:r>
        <w:rPr>
          <w:i/>
          <w:iCs/>
        </w:rPr>
        <w:t xml:space="preserve">(step-up) </w:t>
      </w:r>
      <w:r>
        <w:t>терапию;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 xml:space="preserve">• терапию с поэтапным уменьшением </w:t>
      </w:r>
      <w:r>
        <w:rPr>
          <w:i/>
          <w:iCs/>
        </w:rPr>
        <w:t xml:space="preserve">(step-down) </w:t>
      </w:r>
      <w:r>
        <w:t>активности.</w:t>
      </w:r>
    </w:p>
    <w:p w:rsidR="00692C59" w:rsidRDefault="00E6210D" w:rsidP="00252EBE">
      <w:pPr>
        <w:pStyle w:val="txt"/>
        <w:spacing w:before="0" w:beforeAutospacing="0" w:after="0" w:afterAutospacing="0"/>
        <w:ind w:firstLine="360"/>
        <w:jc w:val="center"/>
      </w:pPr>
      <w:r>
        <w:rPr>
          <w:noProof/>
        </w:rPr>
        <w:lastRenderedPageBreak/>
        <w:drawing>
          <wp:inline distT="0" distB="0" distL="0" distR="0">
            <wp:extent cx="5715000" cy="4305300"/>
            <wp:effectExtent l="0" t="0" r="0" b="0"/>
            <wp:docPr id="18" name="Рисунок 18" descr="2178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21780"/>
                    <pic:cNvPicPr>
                      <a:picLocks noChangeAspect="1" noChangeArrowheads="1"/>
                    </pic:cNvPicPr>
                  </pic:nvPicPr>
                  <pic:blipFill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5000" cy="4305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Из антирефлюксных препаратов (прокинетиков) применяют метоклопрамид (церукал</w:t>
      </w:r>
      <w:r>
        <w:rPr>
          <w:vertAlign w:val="superscript"/>
        </w:rPr>
        <w:t>*</w:t>
      </w:r>
      <w:r>
        <w:t>, перинорм</w:t>
      </w:r>
      <w:r>
        <w:rPr>
          <w:vertAlign w:val="superscript"/>
        </w:rPr>
        <w:t>*</w:t>
      </w:r>
      <w:r>
        <w:t xml:space="preserve">), домперидон (мотилиум*, мотилак*). Более предпочтителен домперидон, который назначают в дозе 0,25 мг/кг, детям с массой тела до </w:t>
      </w:r>
      <w:smartTag w:uri="urn:schemas-microsoft-com:office:smarttags" w:element="metricconverter">
        <w:smartTagPr>
          <w:attr w:name="ProductID" w:val="30 кг"/>
        </w:smartTagPr>
        <w:r>
          <w:t>30 кг</w:t>
        </w:r>
      </w:smartTag>
      <w:r>
        <w:t xml:space="preserve"> - 5 мг, более </w:t>
      </w:r>
      <w:smartTag w:uri="urn:schemas-microsoft-com:office:smarttags" w:element="metricconverter">
        <w:smartTagPr>
          <w:attr w:name="ProductID" w:val="30 кг"/>
        </w:smartTagPr>
        <w:r>
          <w:t>30 кг</w:t>
        </w:r>
      </w:smartTag>
      <w:r>
        <w:t xml:space="preserve"> - в виде суспензии или таблеток по 10 мг 2-3 раза в сутки за 15-20 мин до еды и при необходимости дополнительно перед сном. Курс лечения - 2-3 нед.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Церукал* в таблетках назначают реже, коротким курсом, детям старше 6 лет по 5 мг 1-3 раза в день, старше 14 лет - по 5-10 мг 3-4 раза в день, таблетку проглатывают целиком за 30 мин до еды и запивают небольшим количеством воды. Максимальная разовая доза (РД) составляет 20 мг, суточная доза - 60 мг.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Назначают гелеобразные, невсасывающиеся антацидные препараты: алгелдрат + магния гидроксид (маалокс</w:t>
      </w:r>
      <w:r>
        <w:rPr>
          <w:vertAlign w:val="superscript"/>
        </w:rPr>
        <w:t>*</w:t>
      </w:r>
      <w:r>
        <w:t>, алмагель</w:t>
      </w:r>
      <w:r>
        <w:rPr>
          <w:vertAlign w:val="superscript"/>
        </w:rPr>
        <w:t>*</w:t>
      </w:r>
      <w:r>
        <w:t>), алюминия фосфат (фосфалюгель</w:t>
      </w:r>
      <w:r>
        <w:rPr>
          <w:vertAlign w:val="superscript"/>
        </w:rPr>
        <w:t>*</w:t>
      </w:r>
      <w:r>
        <w:t>) в виде суспензии по 15 мл 3-4 раза в день через 1 ч после еды и на ночь, детям до 4 лет - 1/2 пакетика, старше 4 лет - 1 пакетик. Маалокс</w:t>
      </w:r>
      <w:r>
        <w:rPr>
          <w:vertAlign w:val="superscript"/>
        </w:rPr>
        <w:t xml:space="preserve">* </w:t>
      </w:r>
      <w:r>
        <w:t>выпускается также в форме жевательных таблеток, во флаконах по 250 мл. Курс лечения - 2-3 нед.</w:t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E6210D" w:rsidP="002A47C0">
      <w:pPr>
        <w:pStyle w:val="txt"/>
        <w:spacing w:before="0" w:beforeAutospacing="0" w:after="0" w:afterAutospacing="0"/>
        <w:ind w:firstLine="360"/>
      </w:pPr>
      <w:r>
        <w:rPr>
          <w:noProof/>
        </w:rPr>
        <w:drawing>
          <wp:inline distT="0" distB="0" distL="0" distR="0">
            <wp:extent cx="5060950" cy="1384300"/>
            <wp:effectExtent l="0" t="0" r="6350" b="6350"/>
            <wp:docPr id="19" name="Рисунок 19" descr="2178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21781"/>
                    <pic:cNvPicPr>
                      <a:picLocks noChangeAspect="1" noChangeArrowheads="1"/>
                    </pic:cNvPicPr>
                  </pic:nvPicPr>
                  <pic:blipFill>
                    <a:blip r:embed="rId2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60950" cy="13843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2EBE" w:rsidRDefault="00252EBE" w:rsidP="002A47C0">
      <w:pPr>
        <w:pStyle w:val="txt"/>
        <w:spacing w:before="0" w:beforeAutospacing="0" w:after="0" w:afterAutospacing="0"/>
        <w:ind w:firstLine="360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 xml:space="preserve">У детей старшего возраста можно применять блокаторы Н2-рецепторов в таблетках и капсулах: ранитидин - препарат II поколения, фамотидин - препарат III поколения </w:t>
      </w:r>
      <w:r>
        <w:lastRenderedPageBreak/>
        <w:t xml:space="preserve">(гастросидин*, квамател*, фамосан*) внутрь по 1-2 мг/кг в сутки: у детей массой тела более </w:t>
      </w:r>
      <w:smartTag w:uri="urn:schemas-microsoft-com:office:smarttags" w:element="metricconverter">
        <w:smartTagPr>
          <w:attr w:name="ProductID" w:val="10 кг"/>
        </w:smartTagPr>
        <w:r>
          <w:t>10 кг</w:t>
        </w:r>
      </w:smartTag>
      <w:r>
        <w:t xml:space="preserve"> дозу делят на 2 приема, менее </w:t>
      </w:r>
      <w:smartTag w:uri="urn:schemas-microsoft-com:office:smarttags" w:element="metricconverter">
        <w:smartTagPr>
          <w:attr w:name="ProductID" w:val="10 кг"/>
        </w:smartTagPr>
        <w:r>
          <w:t>10 кг</w:t>
        </w:r>
      </w:smartTag>
      <w:r>
        <w:t xml:space="preserve"> - на 3 приема.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Препараты назначают на 3-4 нед с постепенной отменой, недопустимы однократный прием или резкая отмена ввиду опасности синдрома рикошета или синдрома отмены - свойства Н2-блокаторов при резком прекращении их приема вызывать увеличение кислотности и, как следствие, обострение заболевания. Для профилактики обострения заболевания используют половину СД препарата.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 xml:space="preserve">ИПН - блокаторы +/К+-АТФазы. Омепразол (лосек*, омез*) - препарат I поколения - назначают с 12 лет по 1 капсуле (20 мг) 1 раз в день натощак. Пациентам с тяжелым течением рефлюкс-эзофагита дозу увеличивают до 40 мг один раз в день. ИПН являются смесью R- (от лат. </w:t>
      </w:r>
      <w:r>
        <w:rPr>
          <w:i/>
          <w:iCs/>
        </w:rPr>
        <w:t xml:space="preserve">rota dexterioz </w:t>
      </w:r>
      <w:r>
        <w:t xml:space="preserve">- «правое колесо, по часовой стрелке») и S- (от лат. </w:t>
      </w:r>
      <w:r>
        <w:rPr>
          <w:i/>
          <w:iCs/>
        </w:rPr>
        <w:t xml:space="preserve">sinister </w:t>
      </w:r>
      <w:r>
        <w:t>- «левый, или против часовой стрелки») изомеров. Рабепразол (париет*) - препарат II поколения - назначают с 12 лет по 20 мг один раз в день утром. Первые два поколения ИПН являются R-изомерами. Эзомепразол - препарат III поколения - является S-изомером омепразола, обладает более высокой биодоступностью по сравнению с другими ИПН. Эзомепразол (нексиум*) назначают по 40 мг 1 раз в день.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Курс лечения ИПН - 4-6 нед, при необходимости - до 12 нед. Капсулы проглатывают целиком, не разжевывая. Если после первого курса излечения эзофагита не наступает или симптомы остаются, рекомендуют дополнительный 4-недельный курс лечения по 20 мг 1 раз в сутки. Синдром рикошета при отмене ИПН не наблюдается.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Принимая во внимание значимость нервной системы в генезе ГЭРБ, патогенетически оправданно назначение комплексной терапии, в том числе вазоактивных препаратов (кавинтона</w:t>
      </w:r>
      <w:r>
        <w:rPr>
          <w:vertAlign w:val="superscript"/>
        </w:rPr>
        <w:t>*</w:t>
      </w:r>
      <w:r>
        <w:t>, винпоцетина</w:t>
      </w:r>
      <w:r>
        <w:rPr>
          <w:vertAlign w:val="superscript"/>
        </w:rPr>
        <w:t>*</w:t>
      </w:r>
      <w:r>
        <w:t>, циннаризина и др.), ноотропов (пантогама*, ноотропила* и др.), препаратов комплексного действия (фенибута</w:t>
      </w:r>
      <w:r>
        <w:rPr>
          <w:vertAlign w:val="superscript"/>
        </w:rPr>
        <w:t>*</w:t>
      </w:r>
      <w:r>
        <w:t>, глицина), седативных препаратов растительного происхождения (ново-пассита*, персена*, пустырника, валерианы).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Рекомендуют физиотерапию: электрофорез с церукалом</w:t>
      </w:r>
      <w:r>
        <w:rPr>
          <w:vertAlign w:val="superscript"/>
        </w:rPr>
        <w:t xml:space="preserve">* </w:t>
      </w:r>
      <w:r>
        <w:t>на область эпигастрия, с бромом - на воротниковую зону, электросон.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При неэффективности терапии ГЭРБ и ее осложнений проводят антирефлюксное хирургическое вмешательство.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Профилактика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Немедикаментозные методы профилактики ГЭРБ направлены на изменение образа жизни пациента в целях устранения факторов риска, приводящих к дисфункции нижнего сфинктера пищевода, а также на соблюдение диетотерапии.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Длительность диспансерного наблюдения за пациентами с ГЭРБ при отсутствии рецидивов должна составлять не менее 3 лет в III группе учета. В фазу ремиссии заболевания назначают фитотерапию или минеральные воды, санаторно</w:t>
      </w:r>
      <w:r w:rsidR="006E70AF">
        <w:t>-</w:t>
      </w:r>
      <w:r>
        <w:t>курортное лечение.</w:t>
      </w: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Следует учитывать, что ГЭРБ редко представлена в моноварианте и чаще всего сочетается с другими органическими заболеваниями гастродуоденальной зоны, поэтому важно проводить лечение и профилактику основного и/или сопутствующего заболевания.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</w:p>
    <w:p w:rsidR="00692C59" w:rsidRDefault="00692C59" w:rsidP="00252EBE">
      <w:pPr>
        <w:pStyle w:val="txt"/>
        <w:spacing w:before="0" w:beforeAutospacing="0" w:after="0" w:afterAutospacing="0"/>
        <w:ind w:firstLine="360"/>
        <w:jc w:val="center"/>
        <w:rPr>
          <w:b/>
          <w:bCs/>
        </w:rPr>
      </w:pPr>
      <w:r>
        <w:rPr>
          <w:b/>
          <w:bCs/>
        </w:rPr>
        <w:t>Прогноз</w:t>
      </w:r>
    </w:p>
    <w:p w:rsidR="00252EBE" w:rsidRDefault="00252EBE" w:rsidP="00252EBE">
      <w:pPr>
        <w:pStyle w:val="txt"/>
        <w:spacing w:before="0" w:beforeAutospacing="0" w:after="0" w:afterAutospacing="0"/>
        <w:ind w:firstLine="360"/>
        <w:jc w:val="center"/>
      </w:pPr>
    </w:p>
    <w:p w:rsidR="00692C59" w:rsidRDefault="00692C59" w:rsidP="002A47C0">
      <w:pPr>
        <w:pStyle w:val="txt"/>
        <w:spacing w:before="0" w:beforeAutospacing="0" w:after="0" w:afterAutospacing="0"/>
        <w:ind w:firstLine="360"/>
      </w:pPr>
      <w:r>
        <w:t>В большинстве случаев у пациентов с ГЭРБ оказываются эффективными комбинированные немедикаментозные и медикаментозные методы лечения. Однако часто после прекращения приема лекарственных препаратов наблюдаются рецидивы и требуется длительная поддерживающая терапия. Именно поэтому перед ее началом необходимо оценить риск развития осложнений ГЭРБ.</w:t>
      </w:r>
    </w:p>
    <w:p w:rsidR="00692C59" w:rsidRDefault="00692C59" w:rsidP="002A47C0">
      <w:pPr>
        <w:ind w:firstLine="360"/>
      </w:pPr>
    </w:p>
    <w:p w:rsidR="00692C59" w:rsidRDefault="00692C59" w:rsidP="002A47C0">
      <w:pPr>
        <w:ind w:firstLine="360"/>
      </w:pPr>
    </w:p>
    <w:sectPr w:rsidR="00692C59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50"/>
  <w:embedSystemFonts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692C59"/>
    <w:rsid w:val="00132BBB"/>
    <w:rsid w:val="00252EBE"/>
    <w:rsid w:val="002A47C0"/>
    <w:rsid w:val="00451FD8"/>
    <w:rsid w:val="006804B1"/>
    <w:rsid w:val="00692C59"/>
    <w:rsid w:val="006C6E0B"/>
    <w:rsid w:val="006E70AF"/>
    <w:rsid w:val="009948B2"/>
    <w:rsid w:val="00E621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martTagType w:namespaceuri="urn:schemas-microsoft-com:office:smarttags" w:name="metricconverter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2C5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txt">
    <w:name w:val="txt"/>
    <w:basedOn w:val="a"/>
    <w:rsid w:val="00692C59"/>
    <w:pPr>
      <w:spacing w:before="100" w:beforeAutospacing="1" w:after="100" w:afterAutospacing="1"/>
    </w:p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692C59"/>
    <w:rPr>
      <w:sz w:val="24"/>
      <w:szCs w:val="24"/>
    </w:rPr>
  </w:style>
  <w:style w:type="character" w:default="1" w:styleId="a0">
    <w:name w:val="Default Paragraph Font"/>
    <w:semiHidden/>
  </w:style>
  <w:style w:type="table" w:default="1" w:styleId="a1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semiHidden/>
  </w:style>
  <w:style w:type="paragraph" w:customStyle="1" w:styleId="txt">
    <w:name w:val="txt"/>
    <w:basedOn w:val="a"/>
    <w:rsid w:val="00692C59"/>
    <w:pPr>
      <w:spacing w:before="100" w:beforeAutospacing="1" w:after="100" w:afterAutospacing="1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4894446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632293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898852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2902134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378878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39952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7962630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99453408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357341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05909341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983188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17938672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5978739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26171993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750032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0300446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012108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32246631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696164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3473898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126388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</w:divs>
  <w:optimizeForBrowser/>
  <w:targetScreenSz w:val="800x600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21" Type="http://schemas.openxmlformats.org/officeDocument/2006/relationships/image" Target="media/image17.jpeg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5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image" Target="media/image16.jpeg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24" Type="http://schemas.openxmlformats.org/officeDocument/2006/relationships/fontTable" Target="fontTable.xml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23" Type="http://schemas.openxmlformats.org/officeDocument/2006/relationships/image" Target="media/image19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Relationship Id="rId22" Type="http://schemas.openxmlformats.org/officeDocument/2006/relationships/image" Target="media/image18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15</Pages>
  <Words>2733</Words>
  <Characters>15584</Characters>
  <Application>Microsoft Office Word</Application>
  <DocSecurity>0</DocSecurity>
  <Lines>129</Lines>
  <Paragraphs>36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18281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Святая Русь</dc:creator>
  <cp:lastModifiedBy>Igor</cp:lastModifiedBy>
  <cp:revision>2</cp:revision>
  <dcterms:created xsi:type="dcterms:W3CDTF">2024-04-11T11:54:00Z</dcterms:created>
  <dcterms:modified xsi:type="dcterms:W3CDTF">2024-04-11T11:54:00Z</dcterms:modified>
</cp:coreProperties>
</file>