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46" w:rsidRPr="006E358D" w:rsidRDefault="00231B46" w:rsidP="00231B4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E358D">
        <w:rPr>
          <w:b/>
          <w:bCs/>
          <w:sz w:val="32"/>
          <w:szCs w:val="32"/>
        </w:rPr>
        <w:t>Грозное заболевание: остеопороз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>Остеопороз – системное заболевание скелета, характеризующееся снижением массы кости в единице объема и нарушением микроархитектоники костной ткани, приводящими к увеличению хрупкости костей и риска их переломов от минимальной травмы или даже без таковой.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Эпидемиологические исследования показали, что нет ни одной расы, ни одной национальности и страны свободной от остеопороза. По последним данным остеопороз зарегистрирован у 75 миллионов человек в США, странах Европы и Японии вместе взятых – это каждая третья женщина в постменопаузальном периоде и почти половина всех мужчин и женщин в возрасте 70 лет. За последние 20 лет достигнут значительный прогресс в представлении о патофизиологии и лечении остеопороза, что привело к пониманию, что профилактика и терапия остеопороза являются реальной задачей.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Последствия остеопороза в виде переломов тел позвонков и трубчатых костей обуславливают значительный подъем заболеваемости и смертности среди лиц пожилого возраста. По данным Всемирной Организации Здравоохранения остеопороз как причина инвалидности и смертности больных занимает четвертое месте после таких заболеваний как сердечно-сосудистые, онкологическая патология и сахарный диабет.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Согласно классификации, различают первичный и вторичный остеопороз. К первичному относят посменопаузальный и сенильный, которые составляют 85% всех случаев, а также ювенильный и идиопатический.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К вторичным формам относят остеопатии, связанные с другими заболеваниями (синдром Кушинга, тиреотоксикоз, гипогонадизм, ревматоидный артрит и другие), с приемом лекарств (глюкокортикоиды, тиреоидные гормоны и другие). В основе патогенеза в любом случае лежит дисбаланс процессов костного ремодулирования.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В 50% случаев болезнь протекает бессимптомно, и первым клиническим проявлением оказываются переломы костей без предшествующей травмы или при неадекватной по силе травме. В остальных случаях наиболее частыми симптомами являются характерные боли в грудном и поясничном отделах позвоночника, усиливающиеся после небольшой физической нагрузки и длительного пребывания в одном положении. Постепенно уменьшается рост, появляются кифоз и кифосколиоз, за счет укорочения позвоночного столба уменьшается расстояние между ребрами и тазовыми костями, в результате выступает вперед живот, увеличивается внутрибрюшинное давление. Снижение роста и выступающий живот не связаны с прямыми сиюминутными симптомами, но ведут к эмоциональному дискомфорту пациента.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Большинство больных с остеопорозом жалуется на значительное снижение работоспособности, повышенную утомляемость. Продолжительная боль в спине способствует повышенной раздражительности, возбудимости и даже развитию депрессий.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В возникновении остеопороза большую роль играют факторы риска и их сочетание у конкретного человека.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Факторы риска развития остеопороза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1. Генетические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этническая принадлежность (белая и азиатская расы);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семейная агрегация;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пожилой возраст;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женский пол;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lastRenderedPageBreak/>
        <w:t xml:space="preserve">низкая масса тела;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низкий пик костной массы;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отсутствие генерализованного остеоартроза.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2. Гормональные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ранняя менопауза;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позднее начало менструаций;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длительные периоды аменореи до наступления менопаузы;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бесплодие;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заболевания эндокринной системы.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3. Стиль жизни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курение;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злоупотребление алкоголем;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злоупотребление кофеином;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сидячий образ жизни;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избыточная физическая нагрузка;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непереносимость молочных продуктов;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низкое потребление кальция;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избыточное потребление мяса;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дефицит витамина D.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В настоящее время имеются возможности для ранней диагностики остеопороза, даже на доклинической стадии. Если 15 лет назад единственным методом являлась рентгенография костей, выявляющая болезнь, когда терялось уже более 20% костной массы или имелись переломы костей, то сейчас благодаря развитию различных методов остеоденситометрии, имеется возможность выявлять потерю массы кости на уровне 2%, осуществлять мониторинг минеральной плотности костной ткани в процессе лечения, профилактики или наблюдения за динамикой естественного течения остеопатии.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Профилактика остеопороза является ключевой задачей в проблеме остеопороза. Профилактику можно разделить на первичную и вторичную.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К первичным мерам относятся: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контроль за адекватным потреблением кальция и витамина D, начиная с детского возраста;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>обеспечение организма кальцием в период беременности и кормления грудью;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>активный образ жизни;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регулярные физические упражнения с умеренной нагрузкой максимальное снижение факторов риска.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>Показаниями к вторичной профилактике служит наличие достоверных факторов риска: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>ранняя или искусственная менопауза;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>гипогонадизм;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>кортикостероидная терапия;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lastRenderedPageBreak/>
        <w:t xml:space="preserve">сахарный диабет и многие другие. </w:t>
      </w:r>
    </w:p>
    <w:p w:rsidR="00231B46" w:rsidRPr="006E358D" w:rsidRDefault="00231B46" w:rsidP="00231B46">
      <w:pPr>
        <w:spacing w:before="120"/>
        <w:ind w:firstLine="567"/>
        <w:jc w:val="both"/>
      </w:pPr>
      <w:r w:rsidRPr="006E358D">
        <w:t xml:space="preserve">В этом случае универсальным средством является назначение препаратов кальция и витамина D. </w:t>
      </w:r>
    </w:p>
    <w:p w:rsidR="00231B46" w:rsidRDefault="00231B46" w:rsidP="00231B46">
      <w:pPr>
        <w:spacing w:before="120"/>
        <w:ind w:firstLine="567"/>
        <w:jc w:val="both"/>
      </w:pPr>
      <w:r w:rsidRPr="006E358D">
        <w:t xml:space="preserve">Кальций необходимо сочетать с витамином D для лучшего всасывания кальция. Хорошими источниками кальция являются молоко, йогурт, сыр, шпинат, брокколи, орехи, фасоль, капуста, зелень петрушки, соя, апельсины, томатный и апельсиновый соки. Стакан молока или кефира содержит до 200 мг кальция. К сожалению, молодежь часто пренебрегает научно обоснованными рекомендациями о необходимости ежедневного достаточного потребления продуктов, содержащих кальций, и в первую очередь молочных продуктов. Да и многие взрослые женщины игнорируют эти полезные советы. А между тем убедительно показано, что у женщин, потребляющих ежедневно 1000 мг кальция, переломы бедра случаются на 75% реже, чем у женщин, потреблявших вдвое меньше кальция. </w:t>
      </w:r>
    </w:p>
    <w:p w:rsidR="00231B46" w:rsidRPr="006E358D" w:rsidRDefault="00231B46" w:rsidP="00231B46">
      <w:pPr>
        <w:spacing w:before="120"/>
        <w:jc w:val="center"/>
        <w:rPr>
          <w:b/>
          <w:bCs/>
          <w:sz w:val="28"/>
          <w:szCs w:val="28"/>
        </w:rPr>
      </w:pPr>
      <w:r w:rsidRPr="006E358D">
        <w:rPr>
          <w:b/>
          <w:bCs/>
          <w:sz w:val="28"/>
          <w:szCs w:val="28"/>
        </w:rPr>
        <w:t>Список литературы</w:t>
      </w:r>
    </w:p>
    <w:p w:rsidR="00231B46" w:rsidRDefault="00231B46" w:rsidP="00231B46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5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46"/>
    <w:rsid w:val="00051FB8"/>
    <w:rsid w:val="00095BA6"/>
    <w:rsid w:val="00210DB3"/>
    <w:rsid w:val="00231B46"/>
    <w:rsid w:val="0031418A"/>
    <w:rsid w:val="00350B15"/>
    <w:rsid w:val="00377A3D"/>
    <w:rsid w:val="0052086C"/>
    <w:rsid w:val="005A2562"/>
    <w:rsid w:val="006E118E"/>
    <w:rsid w:val="006E358D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1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1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Company>Home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Грозное заболевание: остеопороз</dc:title>
  <dc:creator>Alena</dc:creator>
  <cp:lastModifiedBy>Igor</cp:lastModifiedBy>
  <cp:revision>2</cp:revision>
  <dcterms:created xsi:type="dcterms:W3CDTF">2024-10-08T08:15:00Z</dcterms:created>
  <dcterms:modified xsi:type="dcterms:W3CDTF">2024-10-08T08:15:00Z</dcterms:modified>
</cp:coreProperties>
</file>