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A66B6C">
        <w:rPr>
          <w:rFonts w:ascii="Times New Roman" w:hAnsi="Times New Roman"/>
          <w:b/>
          <w:color w:val="000000"/>
          <w:sz w:val="28"/>
          <w:szCs w:val="28"/>
        </w:rPr>
        <w:t>Официальные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данные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Ф.И.О.: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Возраст: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53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года.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Место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работы: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шофёр.</w:t>
      </w:r>
    </w:p>
    <w:p w:rsidR="00BF384F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F384F">
        <w:rPr>
          <w:rFonts w:ascii="Times New Roman" w:hAnsi="Times New Roman"/>
          <w:color w:val="000000"/>
          <w:sz w:val="28"/>
          <w:szCs w:val="24"/>
        </w:rPr>
        <w:t>Дата</w:t>
      </w:r>
      <w:r w:rsidR="00A66B6C" w:rsidRPr="00BF38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F384F">
        <w:rPr>
          <w:rFonts w:ascii="Times New Roman" w:hAnsi="Times New Roman"/>
          <w:color w:val="000000"/>
          <w:sz w:val="28"/>
          <w:szCs w:val="24"/>
        </w:rPr>
        <w:t>поступления:</w:t>
      </w:r>
      <w:r w:rsidR="00A66B6C" w:rsidRPr="00BF384F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81697" w:rsidRPr="00BF384F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F384F">
        <w:rPr>
          <w:rFonts w:ascii="Times New Roman" w:hAnsi="Times New Roman"/>
          <w:color w:val="000000"/>
          <w:sz w:val="28"/>
          <w:szCs w:val="24"/>
        </w:rPr>
        <w:t>Дата</w:t>
      </w:r>
      <w:r w:rsidR="00A66B6C" w:rsidRPr="00BF38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F384F">
        <w:rPr>
          <w:rFonts w:ascii="Times New Roman" w:hAnsi="Times New Roman"/>
          <w:color w:val="000000"/>
          <w:sz w:val="28"/>
          <w:szCs w:val="24"/>
        </w:rPr>
        <w:t>выписки:</w:t>
      </w:r>
      <w:r w:rsidR="00A66B6C" w:rsidRPr="00BF384F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Поступил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порядке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скорой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помощи.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Дата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начала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курации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Дата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окончания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курации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281697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Диагноз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F384F">
        <w:rPr>
          <w:rFonts w:ascii="Times New Roman" w:hAnsi="Times New Roman"/>
          <w:color w:val="000000"/>
          <w:sz w:val="28"/>
          <w:szCs w:val="24"/>
        </w:rPr>
        <w:t>направления:</w:t>
      </w:r>
    </w:p>
    <w:p w:rsidR="00151580" w:rsidRPr="00A66B6C" w:rsidRDefault="00281697" w:rsidP="00A66B6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Окончательный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диагноз:</w:t>
      </w:r>
    </w:p>
    <w:p w:rsidR="00A66B6C" w:rsidRPr="00A66B6C" w:rsidRDefault="00281697" w:rsidP="00A66B6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а)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основное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заболевание: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F09CF">
        <w:rPr>
          <w:rFonts w:ascii="Times New Roman" w:hAnsi="Times New Roman"/>
          <w:color w:val="000000"/>
          <w:sz w:val="28"/>
          <w:szCs w:val="24"/>
        </w:rPr>
        <w:t>Хроническая болезнь почек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  <w:lang w:val="en-US"/>
        </w:rPr>
        <w:t>IV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степень.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Поликистозная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болезнь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почек.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Анемия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средней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степени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тяжести.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Симптоматическая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артериальная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гипертензия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степени,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риск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4.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1590" w:rsidRPr="00A66B6C">
        <w:rPr>
          <w:rFonts w:ascii="Times New Roman" w:hAnsi="Times New Roman"/>
          <w:color w:val="000000"/>
          <w:sz w:val="28"/>
          <w:szCs w:val="24"/>
        </w:rPr>
        <w:t>ХСН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1590" w:rsidRPr="00A66B6C">
        <w:rPr>
          <w:rFonts w:ascii="Times New Roman" w:hAnsi="Times New Roman"/>
          <w:color w:val="000000"/>
          <w:sz w:val="28"/>
          <w:szCs w:val="24"/>
        </w:rPr>
        <w:t>0.</w:t>
      </w:r>
    </w:p>
    <w:p w:rsidR="00A66B6C" w:rsidRPr="00A66B6C" w:rsidRDefault="00281697" w:rsidP="00A66B6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б)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осложнения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основного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заболевания: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гипертонический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криз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порядка: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кровотечение</w:t>
      </w:r>
    </w:p>
    <w:p w:rsidR="00281697" w:rsidRPr="00A66B6C" w:rsidRDefault="00281697" w:rsidP="00A66B6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в)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сопутствующие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заболевания: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151580" w:rsidRPr="00A66B6C">
        <w:rPr>
          <w:rFonts w:ascii="Times New Roman" w:hAnsi="Times New Roman"/>
          <w:color w:val="000000"/>
          <w:sz w:val="28"/>
          <w:szCs w:val="24"/>
        </w:rPr>
        <w:t>поликистоз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печени.</w:t>
      </w:r>
    </w:p>
    <w:p w:rsidR="00281697" w:rsidRPr="00A66B6C" w:rsidRDefault="00281697" w:rsidP="00A66B6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Жалобы</w:t>
      </w:r>
    </w:p>
    <w:p w:rsidR="00281697" w:rsidRPr="00A66B6C" w:rsidRDefault="00281697" w:rsidP="00A66B6C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головные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теменной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области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давящего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характера;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возникновение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связывает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давления;</w:t>
      </w:r>
    </w:p>
    <w:p w:rsidR="00281697" w:rsidRPr="00A66B6C" w:rsidRDefault="00281697" w:rsidP="00A66B6C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утомляемость,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работоспособности;</w:t>
      </w:r>
    </w:p>
    <w:p w:rsidR="00281697" w:rsidRPr="00A66B6C" w:rsidRDefault="00281697" w:rsidP="00A66B6C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повышение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200/100;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>раб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150/80.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утренние,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вечерние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часы,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связано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незначительными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физическими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нервно-психическими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нагрузками,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купируется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применением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эналаприла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длительно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неостанавливающееся.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Также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беспокоят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периодически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возникающее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незначительное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кровотечение.</w:t>
      </w:r>
    </w:p>
    <w:p w:rsidR="00A66B6C" w:rsidRPr="00A66B6C" w:rsidRDefault="00281697" w:rsidP="00A66B6C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боль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стопах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ног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коленных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суставах: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после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физической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нагрузки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проходит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после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отдыха.</w:t>
      </w:r>
    </w:p>
    <w:p w:rsidR="00281697" w:rsidRPr="00A66B6C" w:rsidRDefault="00A66B6C" w:rsidP="00A66B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br w:type="page"/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lastRenderedPageBreak/>
        <w:t>Анамнез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t>настоящего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t>заболевания</w:t>
      </w:r>
    </w:p>
    <w:p w:rsidR="002A24C1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считает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себя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больным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6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2006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возникла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острая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подвздошной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области.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вызвал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госпитализирован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ОКБ.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проведено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УЗИ-исследование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органов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брюшной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поставлен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диагноз: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поликистозная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находился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стационаре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дня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отпущен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домой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рекомендациями,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соблюдал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недели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прекратил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терапию.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февраля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помощью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обращался.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феврале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«решив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заняться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своим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здоровьем»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обратился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терапевту,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направил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нефрологу.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плановом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порядке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госпитализирован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нефрологическое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ОКБ.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длилось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недели.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этого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момента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указывает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стал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2-3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ночь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вставать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туалет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«по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маленькому».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Других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жалоб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стороны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органов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мочеполовой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системы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отмечает.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Дома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постоянно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кетостерил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Весной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открылось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смог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остановить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вызвал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СМП.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Госпитализирован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терапевтическое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ГБ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№3.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впервые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выявлено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(какое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именно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помнит)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назначена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гипотензивная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(название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лекарственных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средств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также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помнит).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настоящего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времени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регулярно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рекомендованные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препараты,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измеряет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Максимально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поднимается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200/100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купируется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приемом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эналаприла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этого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момента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(весна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стали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беспокоить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утомляемость,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работоспособности,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головные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связывает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наличие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отеков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нижних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конечностей,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которые,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однако,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последние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полгода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возникают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декабре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госпитализирован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плановом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порядке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нефрологическое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ОКБ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направлению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нефролога.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рекомендациями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после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недель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лечения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отпущен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домой.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17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марта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5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часов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утра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открылось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длительно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останавливалось.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Через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4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часа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вызвал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госпитализирован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ГБ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№3.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данный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момент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проходит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терапевтическом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отделении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ГБ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№3.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Анамнез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жизни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Травмы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операции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ОАО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«</w:t>
      </w:r>
      <w:r w:rsidR="003167AB" w:rsidRPr="003167AB">
        <w:rPr>
          <w:rFonts w:ascii="Times New Roman" w:hAnsi="Times New Roman"/>
          <w:color w:val="000000"/>
          <w:sz w:val="28"/>
          <w:szCs w:val="24"/>
        </w:rPr>
        <w:t>*******</w:t>
      </w:r>
      <w:r w:rsidRPr="00A66B6C">
        <w:rPr>
          <w:rFonts w:ascii="Times New Roman" w:hAnsi="Times New Roman"/>
          <w:color w:val="000000"/>
          <w:sz w:val="28"/>
          <w:szCs w:val="24"/>
        </w:rPr>
        <w:t>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шофером.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курит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пачке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сигарет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Алкоголь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«по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праздникам».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2006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получил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инвалидность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группы.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Семейный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анамнез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Наличие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обмена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веществ,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злокачественных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новообразований,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алкоголизма,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туберкулеза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родственников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Наличие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родственников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патологии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стороны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мочеполовой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сердечно</w:t>
      </w:r>
      <w:r w:rsidRPr="00A66B6C">
        <w:rPr>
          <w:rFonts w:ascii="Times New Roman" w:hAnsi="Times New Roman"/>
          <w:color w:val="000000"/>
          <w:sz w:val="28"/>
          <w:szCs w:val="24"/>
        </w:rPr>
        <w:t>сосудистой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систем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отрицает.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66B6C">
        <w:rPr>
          <w:rFonts w:ascii="Times New Roman" w:hAnsi="Times New Roman"/>
          <w:b/>
          <w:color w:val="000000"/>
          <w:sz w:val="28"/>
          <w:szCs w:val="28"/>
        </w:rPr>
        <w:t>Аллергологический</w:t>
      </w:r>
      <w:proofErr w:type="spellEnd"/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анамнез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Аллергологический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анамнез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отягощен.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Объективное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исследование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Общее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состояние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больного: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удовлетворительное.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Положение: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активное.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Сознание: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ясное.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Рост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75 см"/>
        </w:smartTagPr>
        <w:r w:rsidR="00F4253C" w:rsidRPr="00A66B6C">
          <w:rPr>
            <w:rFonts w:ascii="Times New Roman" w:hAnsi="Times New Roman"/>
            <w:color w:val="000000"/>
            <w:sz w:val="28"/>
            <w:szCs w:val="24"/>
          </w:rPr>
          <w:t>175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="00F4253C" w:rsidRPr="00A66B6C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="00F4253C"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Вес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71 кг"/>
        </w:smartTagPr>
        <w:r w:rsidR="00F4253C" w:rsidRPr="00A66B6C">
          <w:rPr>
            <w:rFonts w:ascii="Times New Roman" w:hAnsi="Times New Roman"/>
            <w:color w:val="000000"/>
            <w:sz w:val="28"/>
            <w:szCs w:val="24"/>
          </w:rPr>
          <w:t>71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="00F4253C" w:rsidRPr="00A66B6C">
          <w:rPr>
            <w:rFonts w:ascii="Times New Roman" w:hAnsi="Times New Roman"/>
            <w:color w:val="000000"/>
            <w:sz w:val="28"/>
            <w:szCs w:val="24"/>
          </w:rPr>
          <w:t>кг</w:t>
        </w:r>
      </w:smartTag>
      <w:r w:rsidR="00F4253C"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Температура: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36,7</w:t>
      </w:r>
      <w:r w:rsidRPr="00A66B6C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66B6C">
        <w:rPr>
          <w:rFonts w:ascii="Times New Roman" w:hAnsi="Times New Roman"/>
          <w:color w:val="000000"/>
          <w:sz w:val="28"/>
          <w:szCs w:val="24"/>
        </w:rPr>
        <w:t>С.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150/90.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Телосложение: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гипостеническое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Состояние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кожных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покровов,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волос,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ногтей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Кожа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бледного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цвета,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сухая,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эластичность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Ногти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тусклые,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волосы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тусклые.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Подкожно-жировая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клетчатка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развита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недостаточно,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распределена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равномерно.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Лимфатические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узлы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увеличены,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подвижны,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спаяны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окружающими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тканями,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пальпации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безболезненны,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температура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кожи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норме.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Ротовая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полость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Слизистая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ротовой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чистая,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бледно-розового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цвета.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Язык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нормальной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величины,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обложен,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4C1942" w:rsidRPr="00A66B6C">
        <w:rPr>
          <w:rFonts w:ascii="Times New Roman" w:hAnsi="Times New Roman"/>
          <w:color w:val="000000"/>
          <w:sz w:val="28"/>
          <w:szCs w:val="24"/>
        </w:rPr>
        <w:t>конъюктивы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бледные.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Костно-мышечная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система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Деформации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суставов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выявлено,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сохранена,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движении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Деформаций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позвоночного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столба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выявлено.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Череп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правильной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формы,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деформаций,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травм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Врожденные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аномалии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отсутствуют.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клетка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цилиндрической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формы,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симметрична,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эпигастральный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угол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&gt;90</w:t>
      </w:r>
      <w:r w:rsidRPr="00A66B6C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Деформаций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грудины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дыхании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отставание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клетки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отмечено.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Над-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подключичные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ямки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выражены.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Мышечный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тонус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сохранен.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Атрофии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мышц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Дыхательная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система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Тип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дыхания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брюш</w:t>
      </w:r>
      <w:r w:rsidRPr="00A66B6C">
        <w:rPr>
          <w:rFonts w:ascii="Times New Roman" w:hAnsi="Times New Roman"/>
          <w:color w:val="000000"/>
          <w:sz w:val="28"/>
          <w:szCs w:val="24"/>
        </w:rPr>
        <w:t>ной,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вспомогательные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мышцы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акте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дыхания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участвуют.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Дыхание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ритмичное,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глубокое.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ЧД=18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дв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/мин.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Пальпация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грудины: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пальпации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болевые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точки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отсутствуют,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голосовое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дрожание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симметричных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участках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клетки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одинаково,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грудная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клетка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эластична.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Перкуссия: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передними,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боковыми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задними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отделами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легких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симметричных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участках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перкуторный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звук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одинаковый,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легочный.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Нижние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границы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легких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пределах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нормы.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Аускультация: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дыхание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везикулярное,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хрипов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обнаружено.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Сердечно-сосудистая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система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Осмотр: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видимой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пульсации,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выпячиваний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области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сердца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обнаружено.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Патологической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пульсации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сосудов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Пальпация: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верхушечный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толчок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межреберье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,0 с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1,0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кнутри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среднинно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-ключичной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линии,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ослаблен,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разлитой.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Перкуссия: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Границы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относительной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тупости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сердца:</w:t>
      </w:r>
      <w:r w:rsidR="00A66B6C" w:rsidRPr="00A66B6C">
        <w:rPr>
          <w:rFonts w:ascii="Times New Roman" w:hAnsi="Times New Roman"/>
          <w:b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Правая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–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в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IV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</w:rPr>
        <w:t>межреберье</w:t>
      </w:r>
      <w:proofErr w:type="spellEnd"/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по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</w:rPr>
        <w:t>парастернальной</w:t>
      </w:r>
      <w:proofErr w:type="spellEnd"/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</w:rPr>
        <w:t>линии.Верхняя</w:t>
      </w:r>
      <w:proofErr w:type="spellEnd"/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-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на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уровне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3-го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ребра.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Левая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–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в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V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</w:rPr>
        <w:t>межреберье</w:t>
      </w:r>
      <w:proofErr w:type="spellEnd"/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на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66B6C">
          <w:rPr>
            <w:rFonts w:ascii="Times New Roman" w:hAnsi="Times New Roman"/>
            <w:color w:val="000000"/>
            <w:sz w:val="28"/>
          </w:rPr>
          <w:t>1,5</w:t>
        </w:r>
        <w:r w:rsidR="00A66B6C" w:rsidRPr="00A66B6C">
          <w:rPr>
            <w:rFonts w:ascii="Times New Roman" w:hAnsi="Times New Roman"/>
            <w:color w:val="000000"/>
            <w:sz w:val="28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</w:rPr>
          <w:t>см</w:t>
        </w:r>
      </w:smartTag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от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срединно-ключичной</w:t>
      </w:r>
      <w:r w:rsidR="00A66B6C" w:rsidRPr="00A66B6C">
        <w:rPr>
          <w:rFonts w:ascii="Times New Roman" w:hAnsi="Times New Roman"/>
          <w:color w:val="000000"/>
          <w:sz w:val="28"/>
        </w:rPr>
        <w:t xml:space="preserve"> </w:t>
      </w:r>
      <w:r w:rsidRPr="00A66B6C">
        <w:rPr>
          <w:rFonts w:ascii="Times New Roman" w:hAnsi="Times New Roman"/>
          <w:color w:val="000000"/>
          <w:sz w:val="28"/>
        </w:rPr>
        <w:t>линии.</w:t>
      </w:r>
    </w:p>
    <w:p w:rsidR="00281697" w:rsidRPr="00A66B6C" w:rsidRDefault="00281697" w:rsidP="00A66B6C">
      <w:pPr>
        <w:pStyle w:val="2"/>
        <w:keepNext w:val="0"/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A66B6C">
        <w:rPr>
          <w:b w:val="0"/>
          <w:color w:val="000000"/>
          <w:sz w:val="28"/>
        </w:rPr>
        <w:t>Границы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абсолютной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тупости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сердца:</w:t>
      </w:r>
    </w:p>
    <w:p w:rsidR="00281697" w:rsidRPr="00A66B6C" w:rsidRDefault="00281697" w:rsidP="00A66B6C">
      <w:pPr>
        <w:pStyle w:val="2"/>
        <w:keepNext w:val="0"/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A66B6C">
        <w:rPr>
          <w:b w:val="0"/>
          <w:color w:val="000000"/>
          <w:sz w:val="28"/>
        </w:rPr>
        <w:t>Правая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-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по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левому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краю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4</w:t>
      </w:r>
      <w:r w:rsidR="00A66B6C" w:rsidRPr="00A66B6C">
        <w:rPr>
          <w:b w:val="0"/>
          <w:color w:val="000000"/>
          <w:sz w:val="28"/>
        </w:rPr>
        <w:t xml:space="preserve"> </w:t>
      </w:r>
      <w:proofErr w:type="spellStart"/>
      <w:r w:rsidRPr="00A66B6C">
        <w:rPr>
          <w:b w:val="0"/>
          <w:color w:val="000000"/>
          <w:sz w:val="28"/>
        </w:rPr>
        <w:t>ребра.Верхняя</w:t>
      </w:r>
      <w:proofErr w:type="spellEnd"/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-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на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уровне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4</w:t>
      </w:r>
      <w:r w:rsidR="00A66B6C" w:rsidRPr="00A66B6C">
        <w:rPr>
          <w:b w:val="0"/>
          <w:color w:val="000000"/>
          <w:sz w:val="28"/>
        </w:rPr>
        <w:t xml:space="preserve"> </w:t>
      </w:r>
      <w:proofErr w:type="spellStart"/>
      <w:r w:rsidRPr="00A66B6C">
        <w:rPr>
          <w:b w:val="0"/>
          <w:color w:val="000000"/>
          <w:sz w:val="28"/>
        </w:rPr>
        <w:t>ребра.Левая</w:t>
      </w:r>
      <w:proofErr w:type="spellEnd"/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–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в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V</w:t>
      </w:r>
      <w:r w:rsidR="00A66B6C" w:rsidRPr="00A66B6C">
        <w:rPr>
          <w:b w:val="0"/>
          <w:color w:val="000000"/>
          <w:sz w:val="28"/>
        </w:rPr>
        <w:t xml:space="preserve"> </w:t>
      </w:r>
      <w:proofErr w:type="spellStart"/>
      <w:r w:rsidRPr="00A66B6C">
        <w:rPr>
          <w:b w:val="0"/>
          <w:color w:val="000000"/>
          <w:sz w:val="28"/>
        </w:rPr>
        <w:t>межреберье</w:t>
      </w:r>
      <w:proofErr w:type="spellEnd"/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на</w:t>
      </w:r>
      <w:r w:rsidR="00A66B6C" w:rsidRPr="00A66B6C">
        <w:rPr>
          <w:b w:val="0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66B6C">
          <w:rPr>
            <w:b w:val="0"/>
            <w:color w:val="000000"/>
            <w:sz w:val="28"/>
          </w:rPr>
          <w:t>1,5</w:t>
        </w:r>
        <w:r w:rsidR="00A66B6C" w:rsidRPr="00A66B6C">
          <w:rPr>
            <w:b w:val="0"/>
            <w:color w:val="000000"/>
            <w:sz w:val="28"/>
          </w:rPr>
          <w:t xml:space="preserve"> </w:t>
        </w:r>
        <w:r w:rsidRPr="00A66B6C">
          <w:rPr>
            <w:b w:val="0"/>
            <w:color w:val="000000"/>
            <w:sz w:val="28"/>
          </w:rPr>
          <w:t>см</w:t>
        </w:r>
      </w:smartTag>
      <w:r w:rsidR="00A66B6C" w:rsidRPr="00A66B6C">
        <w:rPr>
          <w:b w:val="0"/>
          <w:color w:val="000000"/>
          <w:sz w:val="28"/>
        </w:rPr>
        <w:t xml:space="preserve"> </w:t>
      </w:r>
      <w:proofErr w:type="spellStart"/>
      <w:r w:rsidRPr="00A66B6C">
        <w:rPr>
          <w:b w:val="0"/>
          <w:color w:val="000000"/>
          <w:sz w:val="28"/>
        </w:rPr>
        <w:t>кнутри</w:t>
      </w:r>
      <w:proofErr w:type="spellEnd"/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от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срединно-ключичной</w:t>
      </w:r>
      <w:r w:rsidR="00A66B6C" w:rsidRPr="00A66B6C">
        <w:rPr>
          <w:b w:val="0"/>
          <w:color w:val="000000"/>
          <w:sz w:val="28"/>
        </w:rPr>
        <w:t xml:space="preserve"> </w:t>
      </w:r>
      <w:r w:rsidRPr="00A66B6C">
        <w:rPr>
          <w:b w:val="0"/>
          <w:color w:val="000000"/>
          <w:sz w:val="28"/>
        </w:rPr>
        <w:t>линии.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Ширина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сосудистого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пучка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5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Аускультация: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сердца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приглушены,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ритм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правильный.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Акцент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второго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аорте.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150/90.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Исследование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пульса: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частота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–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62уд./мин.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Симметричен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обеих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руках.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Ритм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правильный.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эластична.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Удовлетворительного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наполнения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напряжения.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lastRenderedPageBreak/>
        <w:t>Пищеварительная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система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Полость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рта: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Слизистая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ротовой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чистая,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бледного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цвета.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Язык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нормальной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величины,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обложен.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Осмотр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живота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живот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обычной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формы,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обе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половины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симметричные,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пупок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втянут,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грыжевых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iCs/>
          <w:color w:val="000000"/>
          <w:sz w:val="28"/>
          <w:szCs w:val="24"/>
        </w:rPr>
        <w:t>выпячиваний</w:t>
      </w:r>
      <w:proofErr w:type="spellEnd"/>
      <w:r w:rsidRPr="00A66B6C">
        <w:rPr>
          <w:rFonts w:ascii="Times New Roman" w:hAnsi="Times New Roman"/>
          <w:iCs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расширения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подкожных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вен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отмечается.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Брюшная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равномерно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участвует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акте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дыхания.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Перистальтика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кишечника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видна.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Свободной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жидкости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брюшной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нет.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Пальпация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Исследование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желудка: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Пальпация: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брюшная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напряжена,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безболезненна.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Перкуссия: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граница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нижнего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края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желудка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находится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A66B6C">
          <w:rPr>
            <w:rFonts w:ascii="Times New Roman" w:hAnsi="Times New Roman"/>
            <w:iCs/>
            <w:color w:val="000000"/>
            <w:sz w:val="28"/>
            <w:szCs w:val="24"/>
          </w:rPr>
          <w:t>3</w:t>
        </w:r>
        <w:r w:rsidR="00A66B6C" w:rsidRPr="00A66B6C">
          <w:rPr>
            <w:rFonts w:ascii="Times New Roman" w:hAnsi="Times New Roman"/>
            <w:iCs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iCs/>
            <w:color w:val="000000"/>
            <w:sz w:val="28"/>
            <w:szCs w:val="24"/>
          </w:rPr>
          <w:t>см</w:t>
        </w:r>
      </w:smartTag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выше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пупка.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Исследование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кишечника:</w:t>
      </w:r>
    </w:p>
    <w:p w:rsidR="00281697" w:rsidRPr="00A66B6C" w:rsidRDefault="00281697" w:rsidP="00A66B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A66B6C">
        <w:rPr>
          <w:rFonts w:ascii="Times New Roman" w:hAnsi="Times New Roman"/>
          <w:iCs/>
          <w:color w:val="000000"/>
          <w:sz w:val="28"/>
          <w:szCs w:val="24"/>
        </w:rPr>
        <w:t>Сигмовидная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кишка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–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расположена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правильно,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эластичная;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гладкая,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ровная;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сохранена,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определяется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урчание.</w:t>
      </w:r>
    </w:p>
    <w:p w:rsidR="00281697" w:rsidRPr="00A66B6C" w:rsidRDefault="00281697" w:rsidP="00A66B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A66B6C">
        <w:rPr>
          <w:rFonts w:ascii="Times New Roman" w:hAnsi="Times New Roman"/>
          <w:iCs/>
          <w:color w:val="000000"/>
          <w:sz w:val="28"/>
          <w:szCs w:val="24"/>
        </w:rPr>
        <w:t>Слепая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кишка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–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расположена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правильно;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эластичная,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гладкая,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сохранена;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урчания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нет.</w:t>
      </w:r>
    </w:p>
    <w:p w:rsidR="00281697" w:rsidRPr="00A66B6C" w:rsidRDefault="00281697" w:rsidP="00A66B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A66B6C">
        <w:rPr>
          <w:rFonts w:ascii="Times New Roman" w:hAnsi="Times New Roman"/>
          <w:iCs/>
          <w:color w:val="000000"/>
          <w:sz w:val="28"/>
          <w:szCs w:val="24"/>
        </w:rPr>
        <w:t>Восходящая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нисходящая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ободочная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кишка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расположены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правильно,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безболезненны,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стенки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гладкие,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ровные,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эластичные,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достаточная,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урчание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обнаруживается.</w:t>
      </w:r>
    </w:p>
    <w:p w:rsidR="00281697" w:rsidRPr="00A66B6C" w:rsidRDefault="00281697" w:rsidP="00A66B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A66B6C">
        <w:rPr>
          <w:rFonts w:ascii="Times New Roman" w:hAnsi="Times New Roman"/>
          <w:iCs/>
          <w:color w:val="000000"/>
          <w:sz w:val="28"/>
          <w:szCs w:val="24"/>
        </w:rPr>
        <w:t>Поперечно-ободочная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кишка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определяется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слева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справа,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большой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кривизной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желудка;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эластичная;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гладкая,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достаточная;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безболезненна,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урчание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iCs/>
          <w:color w:val="000000"/>
          <w:sz w:val="28"/>
          <w:szCs w:val="24"/>
        </w:rPr>
        <w:t>определяется.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Пальпация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печени: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Пальпаторно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определяется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подреберье.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Край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выходит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из-под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реберной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дуги,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эластичный,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острый,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безболезненный,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поверхность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гладкая.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пузырь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пальпируется.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Размеры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Курлову: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9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см*8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см*7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см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Симптомы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Мёрфи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Мюсси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Ортнера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отрицательные.</w:t>
      </w:r>
    </w:p>
    <w:p w:rsidR="00281697" w:rsidRPr="00A66B6C" w:rsidRDefault="00A66B6C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281697" w:rsidRPr="00A66B6C">
        <w:rPr>
          <w:rFonts w:ascii="Times New Roman" w:hAnsi="Times New Roman"/>
          <w:b/>
          <w:color w:val="000000"/>
          <w:sz w:val="28"/>
          <w:szCs w:val="24"/>
        </w:rPr>
        <w:lastRenderedPageBreak/>
        <w:t>Мочеполовая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4"/>
        </w:rPr>
        <w:t>система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Почки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пальпируются,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мочеиспускание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безболезненно.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Симптом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поколачивания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отрицательный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обеих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сторон.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Органы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чувств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Видит,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слышит,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запахи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различает.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Обоснование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предварительного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диагноза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основании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анамнеза,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жалоб,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объективного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A66B6C">
        <w:rPr>
          <w:rFonts w:ascii="Times New Roman" w:hAnsi="Times New Roman"/>
          <w:color w:val="000000"/>
          <w:sz w:val="28"/>
          <w:szCs w:val="24"/>
        </w:rPr>
        <w:t>обследования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можно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выделить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следующие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синдромы:</w:t>
      </w:r>
    </w:p>
    <w:p w:rsidR="00281697" w:rsidRPr="00A66B6C" w:rsidRDefault="00281697" w:rsidP="00A66B6C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синдром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200/100,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головная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работоспособности,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утомляемость,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давления);</w:t>
      </w:r>
    </w:p>
    <w:p w:rsidR="00281697" w:rsidRPr="00A66B6C" w:rsidRDefault="00281697" w:rsidP="00A66B6C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анемический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(бледность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кожи,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бледность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9F3AEF" w:rsidRPr="00A66B6C">
        <w:rPr>
          <w:rFonts w:ascii="Times New Roman" w:hAnsi="Times New Roman"/>
          <w:color w:val="000000"/>
          <w:sz w:val="28"/>
          <w:szCs w:val="24"/>
        </w:rPr>
        <w:t>конъюктив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);</w:t>
      </w:r>
    </w:p>
    <w:p w:rsidR="00281697" w:rsidRPr="00A66B6C" w:rsidRDefault="00281697" w:rsidP="00A66B6C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гемморагический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(периодически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возникающее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кровотечение);</w:t>
      </w:r>
    </w:p>
    <w:p w:rsidR="00281697" w:rsidRPr="00A66B6C" w:rsidRDefault="00281697" w:rsidP="00A66B6C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дизурический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167AB" w:rsidRPr="00A66B6C">
        <w:rPr>
          <w:rFonts w:ascii="Times New Roman" w:hAnsi="Times New Roman"/>
          <w:color w:val="000000"/>
          <w:sz w:val="28"/>
          <w:szCs w:val="24"/>
        </w:rPr>
        <w:t>(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ночное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время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2-3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посещает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туалет);</w:t>
      </w:r>
    </w:p>
    <w:p w:rsidR="004C1942" w:rsidRPr="002A24C1" w:rsidRDefault="00281697" w:rsidP="002A24C1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сидеропенический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167AB" w:rsidRPr="00A66B6C">
        <w:rPr>
          <w:rFonts w:ascii="Times New Roman" w:hAnsi="Times New Roman"/>
          <w:color w:val="000000"/>
          <w:sz w:val="28"/>
          <w:szCs w:val="24"/>
        </w:rPr>
        <w:t>(</w:t>
      </w:r>
      <w:r w:rsidRPr="00A66B6C">
        <w:rPr>
          <w:rFonts w:ascii="Times New Roman" w:hAnsi="Times New Roman"/>
          <w:color w:val="000000"/>
          <w:sz w:val="28"/>
          <w:szCs w:val="24"/>
        </w:rPr>
        <w:t>сухость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кожи,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тусклость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волос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ногтевых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пластинок,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данный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синдром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может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окончательно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подтвержден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после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лабораторных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установления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факта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железодефицитной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анемии).</w:t>
      </w:r>
      <w:r w:rsid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основании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вышеизложенных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синдромов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можно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предположить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пациента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следующие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942" w:rsidRPr="002A24C1">
        <w:rPr>
          <w:rFonts w:ascii="Times New Roman" w:hAnsi="Times New Roman"/>
          <w:color w:val="000000"/>
          <w:sz w:val="28"/>
          <w:szCs w:val="24"/>
        </w:rPr>
        <w:t>заболевания:</w:t>
      </w:r>
    </w:p>
    <w:p w:rsidR="004C1942" w:rsidRPr="00A66B6C" w:rsidRDefault="004C1942" w:rsidP="00A66B6C">
      <w:pPr>
        <w:pStyle w:val="ListParagraph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Симптоматичекая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её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пользу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говорят: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наличие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анамнезе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поликистозной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наличие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>раб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150/80,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200/100)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появляющееся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её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головная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стало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повышаться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лишь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2011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диагноз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поликистозной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поставлен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уже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2006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году.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против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данного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диагноза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говорит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преобладание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систолического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диастолическим.</w:t>
      </w:r>
    </w:p>
    <w:p w:rsidR="004C1942" w:rsidRPr="002A24C1" w:rsidRDefault="004C1942" w:rsidP="002A24C1">
      <w:pPr>
        <w:pStyle w:val="ListParagraph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Гипертоническая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пользу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выступает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синдром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200/100,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>раб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150/80;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головная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работоспособности,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утомляемость,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повышенного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давления);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преобладание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систолического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давления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диастолическим;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возраст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пациента.</w:t>
      </w:r>
      <w:r w:rsid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Против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–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отсутствие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анамнезе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данных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о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наследственной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предрасположенности.</w:t>
      </w:r>
      <w:r w:rsidR="002A24C1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Таким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образом,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считаю,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что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более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вероятен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диагноз:</w:t>
      </w:r>
      <w:r w:rsid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Поликистозная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болезнь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почек.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Симптоматическая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артериальная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гипертензия.</w:t>
      </w:r>
      <w:r w:rsidR="002A24C1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Для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того,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чтобы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окончательно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убедиться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поставленном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диагнозе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провести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ряд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лабораторно-инструментальных</w:t>
      </w:r>
      <w:r w:rsidR="00A66B6C" w:rsidRPr="002A24C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24C1">
        <w:rPr>
          <w:rFonts w:ascii="Times New Roman" w:hAnsi="Times New Roman"/>
          <w:color w:val="000000"/>
          <w:sz w:val="28"/>
          <w:szCs w:val="24"/>
        </w:rPr>
        <w:t>исследований.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План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обследования</w:t>
      </w:r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ОАК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(эритроциты,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Нв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лейкоциты,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ЦП,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СОЭ,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тромбоциты,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ретикулоциты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</w:t>
      </w:r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Б/Х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(глюкоза,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холестерин,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ЛПВП,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ТАГи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креатинин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мочевина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сывороточное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железо,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ОЖСС</w:t>
      </w:r>
      <w:r w:rsidRPr="00A66B6C">
        <w:rPr>
          <w:rFonts w:ascii="Times New Roman" w:hAnsi="Times New Roman"/>
          <w:color w:val="000000"/>
          <w:sz w:val="28"/>
          <w:szCs w:val="24"/>
        </w:rPr>
        <w:t>)</w:t>
      </w:r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ОАМ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(эритроциты,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цилиндры,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удельный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7129" w:rsidRPr="00A66B6C">
        <w:rPr>
          <w:rFonts w:ascii="Times New Roman" w:hAnsi="Times New Roman"/>
          <w:color w:val="000000"/>
          <w:sz w:val="28"/>
          <w:szCs w:val="24"/>
        </w:rPr>
        <w:t>вес)</w:t>
      </w:r>
    </w:p>
    <w:p w:rsidR="007B7129" w:rsidRPr="00A66B6C" w:rsidRDefault="007B7129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Суточная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потеря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белка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мочой</w:t>
      </w:r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Анализ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Нечипоренко</w:t>
      </w:r>
    </w:p>
    <w:p w:rsidR="007B7129" w:rsidRPr="00A66B6C" w:rsidRDefault="007B7129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Проба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Зимницкому</w:t>
      </w:r>
      <w:proofErr w:type="spellEnd"/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УЗИ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сердца</w:t>
      </w:r>
    </w:p>
    <w:p w:rsidR="00281697" w:rsidRPr="00A66B6C" w:rsidRDefault="00281697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УЗИ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</w:t>
      </w:r>
    </w:p>
    <w:p w:rsidR="007B7129" w:rsidRPr="00A66B6C" w:rsidRDefault="007B7129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Сцинтиграфия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</w:t>
      </w:r>
    </w:p>
    <w:p w:rsidR="007B7129" w:rsidRPr="00A66B6C" w:rsidRDefault="007B7129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Осмотр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окулиста</w:t>
      </w:r>
    </w:p>
    <w:p w:rsidR="007B7129" w:rsidRPr="00A66B6C" w:rsidRDefault="007B7129" w:rsidP="00A66B6C">
      <w:pPr>
        <w:pStyle w:val="ListParagraph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Консультация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нефролога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Данные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лабораторных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инструментальных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исследований</w:t>
      </w:r>
    </w:p>
    <w:p w:rsidR="00281697" w:rsidRP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Общий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анализ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19.03.2012: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2053"/>
        <w:gridCol w:w="1843"/>
      </w:tblGrid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3,19х10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12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3,9-5,0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12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Нв</w:t>
            </w:r>
            <w:proofErr w:type="spellEnd"/>
          </w:p>
        </w:tc>
        <w:tc>
          <w:tcPr>
            <w:tcW w:w="2053" w:type="dxa"/>
          </w:tcPr>
          <w:p w:rsidR="00281697" w:rsidRPr="00A66B6C" w:rsidRDefault="009F3AEF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115-145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4,8х10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4,0-9,0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Тромбоциты</w:t>
            </w:r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199х10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180-400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х10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ЦП</w:t>
            </w:r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0,85-1,05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2-10</w:t>
            </w:r>
          </w:p>
        </w:tc>
      </w:tr>
      <w:tr w:rsidR="00281697" w:rsidRPr="00A66B6C" w:rsidTr="00826939">
        <w:tc>
          <w:tcPr>
            <w:tcW w:w="3005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05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2-15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</w:tr>
    </w:tbl>
    <w:p w:rsidR="002A24C1" w:rsidRPr="003167AB" w:rsidRDefault="002A24C1" w:rsidP="002A24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281697" w:rsidRPr="00A66B6C" w:rsidRDefault="002A24C1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lastRenderedPageBreak/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анемия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средней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степени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тяжести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81697" w:rsidRP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Лейкоцитарная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формула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19.03.2012: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3"/>
        <w:gridCol w:w="1418"/>
        <w:gridCol w:w="1687"/>
      </w:tblGrid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ейкоциты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4,8х109/л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4,0-9,0х109/л</w:t>
            </w:r>
          </w:p>
        </w:tc>
      </w:tr>
      <w:tr w:rsidR="00281697" w:rsidRPr="00A66B6C" w:rsidTr="00DB2247">
        <w:trPr>
          <w:trHeight w:val="316"/>
        </w:trPr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алочкоядерные</w:t>
            </w:r>
            <w:proofErr w:type="spellEnd"/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1-6%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егментоядерные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47-72%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озинофилы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0,5-5%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азофилы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0-1%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имфоциты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19-37%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оноциты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3-11%</w:t>
            </w:r>
          </w:p>
        </w:tc>
      </w:tr>
      <w:tr w:rsidR="00281697" w:rsidRPr="00A66B6C" w:rsidTr="00DB2247">
        <w:tc>
          <w:tcPr>
            <w:tcW w:w="2223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141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мм/час</w:t>
            </w:r>
          </w:p>
        </w:tc>
        <w:tc>
          <w:tcPr>
            <w:tcW w:w="1687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2-15мм/час</w:t>
            </w:r>
          </w:p>
        </w:tc>
      </w:tr>
    </w:tbl>
    <w:p w:rsid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изменений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нет.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81697" w:rsidRP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Биохимический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анализ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19.03.2012: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160"/>
        <w:gridCol w:w="2520"/>
      </w:tblGrid>
      <w:tr w:rsidR="00281697" w:rsidRPr="00A66B6C" w:rsidTr="0012457A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люкоза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63,5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65-85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билирубин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3,4-20,5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рямой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0-5,1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0-35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0-35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833,6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&lt;200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0-24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4,13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3,1-6,5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ЛПНП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4.79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ТАГ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0,55-1,65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3,3-8,3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2160" w:type="dxa"/>
          </w:tcPr>
          <w:p w:rsidR="00281697" w:rsidRPr="00A66B6C" w:rsidRDefault="008D351B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0,438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моль</w:t>
            </w:r>
            <w:proofErr w:type="spellEnd"/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8D351B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0,062-0,115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моль</w:t>
            </w:r>
            <w:proofErr w:type="spellEnd"/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СРБ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отр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отр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атрий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135-150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алий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3,5-5,5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ибриноген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2,0-4,0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г/л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ПТИ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80-105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0,88-1,37</w:t>
            </w:r>
          </w:p>
        </w:tc>
      </w:tr>
      <w:tr w:rsidR="00281697" w:rsidRPr="00A66B6C" w:rsidTr="0012457A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32-42</w:t>
            </w:r>
          </w:p>
        </w:tc>
      </w:tr>
    </w:tbl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46787" w:rsidRPr="00A66B6C">
        <w:rPr>
          <w:rFonts w:ascii="Times New Roman" w:hAnsi="Times New Roman"/>
          <w:color w:val="000000"/>
          <w:sz w:val="28"/>
          <w:szCs w:val="24"/>
        </w:rPr>
        <w:t>гиперурикемия</w:t>
      </w:r>
      <w:proofErr w:type="spellEnd"/>
      <w:r w:rsidR="00246787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6787" w:rsidRPr="00A66B6C">
        <w:rPr>
          <w:rFonts w:ascii="Times New Roman" w:hAnsi="Times New Roman"/>
          <w:color w:val="000000"/>
          <w:sz w:val="28"/>
          <w:szCs w:val="24"/>
        </w:rPr>
        <w:t>повышение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6787" w:rsidRPr="00A66B6C">
        <w:rPr>
          <w:rFonts w:ascii="Times New Roman" w:hAnsi="Times New Roman"/>
          <w:color w:val="000000"/>
          <w:sz w:val="28"/>
          <w:szCs w:val="24"/>
        </w:rPr>
        <w:t>уровня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46787" w:rsidRPr="00A66B6C">
        <w:rPr>
          <w:rFonts w:ascii="Times New Roman" w:hAnsi="Times New Roman"/>
          <w:color w:val="000000"/>
          <w:sz w:val="28"/>
          <w:szCs w:val="24"/>
        </w:rPr>
        <w:t>креатинфосфокиназы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6787"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6787" w:rsidRPr="00A66B6C">
        <w:rPr>
          <w:rFonts w:ascii="Times New Roman" w:hAnsi="Times New Roman"/>
          <w:color w:val="000000"/>
          <w:sz w:val="28"/>
          <w:szCs w:val="24"/>
        </w:rPr>
        <w:t>МВ-фракции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642849"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246787" w:rsidRPr="00A66B6C">
        <w:rPr>
          <w:rFonts w:ascii="Times New Roman" w:hAnsi="Times New Roman"/>
          <w:color w:val="000000"/>
          <w:sz w:val="28"/>
          <w:szCs w:val="24"/>
        </w:rPr>
        <w:t>реатинфосфокиназы</w:t>
      </w:r>
      <w:proofErr w:type="spellEnd"/>
      <w:r w:rsidR="00246787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46787" w:rsidRPr="00A66B6C">
        <w:rPr>
          <w:rFonts w:ascii="Times New Roman" w:hAnsi="Times New Roman"/>
          <w:color w:val="000000"/>
          <w:sz w:val="28"/>
          <w:szCs w:val="24"/>
        </w:rPr>
        <w:t>креатининемия</w:t>
      </w:r>
      <w:proofErr w:type="spellEnd"/>
      <w:r w:rsidR="00246787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46787" w:rsidRPr="00A66B6C">
        <w:rPr>
          <w:rFonts w:ascii="Times New Roman" w:hAnsi="Times New Roman"/>
          <w:color w:val="000000"/>
          <w:sz w:val="28"/>
          <w:szCs w:val="24"/>
        </w:rPr>
        <w:t>фибриногенемия</w:t>
      </w:r>
      <w:proofErr w:type="spellEnd"/>
      <w:r w:rsidR="00246787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A24C1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lastRenderedPageBreak/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Биохимический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анализ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21.03.201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>2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160"/>
        <w:gridCol w:w="2520"/>
      </w:tblGrid>
      <w:tr w:rsidR="00281697" w:rsidRPr="00A66B6C" w:rsidTr="00F85046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&lt;200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0-24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3,3-8,3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0,284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0,062-0,115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атрий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135-150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алий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3,5-5,5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F85046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лориды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101-111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</w:tbl>
    <w:p w:rsid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25F65" w:rsidRPr="00A66B6C">
        <w:rPr>
          <w:rFonts w:ascii="Times New Roman" w:hAnsi="Times New Roman"/>
          <w:color w:val="000000"/>
          <w:sz w:val="28"/>
          <w:szCs w:val="24"/>
        </w:rPr>
        <w:t>гиперурикемия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642849" w:rsidRPr="00A66B6C">
        <w:rPr>
          <w:rFonts w:ascii="Times New Roman" w:hAnsi="Times New Roman"/>
          <w:color w:val="000000"/>
          <w:sz w:val="28"/>
          <w:szCs w:val="24"/>
        </w:rPr>
        <w:t>креатиниемия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повышение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уровня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46787"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реатинфосфокиназы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81697" w:rsidRP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Биохимический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анализ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26.03.2012:</w:t>
      </w:r>
    </w:p>
    <w:tbl>
      <w:tblPr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160"/>
        <w:gridCol w:w="2520"/>
      </w:tblGrid>
      <w:tr w:rsidR="00281697" w:rsidRPr="00A66B6C" w:rsidTr="008C54BC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&lt;200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8C54BC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КФК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0-24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Е/л</w:t>
            </w:r>
          </w:p>
        </w:tc>
      </w:tr>
      <w:tr w:rsidR="00281697" w:rsidRPr="00A66B6C" w:rsidTr="008C54BC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атрий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138,8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135-150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8C54BC">
        <w:tc>
          <w:tcPr>
            <w:tcW w:w="2268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3,5-5,5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  <w:tr w:rsidR="00281697" w:rsidRPr="00A66B6C" w:rsidTr="008C54BC">
        <w:tc>
          <w:tcPr>
            <w:tcW w:w="2268" w:type="dxa"/>
          </w:tcPr>
          <w:p w:rsidR="00281697" w:rsidRPr="00A66B6C" w:rsidRDefault="0024678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281697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лориды</w:t>
            </w:r>
          </w:p>
        </w:tc>
        <w:tc>
          <w:tcPr>
            <w:tcW w:w="216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20" w:type="dxa"/>
          </w:tcPr>
          <w:p w:rsidR="00281697" w:rsidRPr="00A66B6C" w:rsidRDefault="00281697" w:rsidP="00A66B6C">
            <w:pPr>
              <w:pStyle w:val="ListParagraph"/>
              <w:tabs>
                <w:tab w:val="center" w:pos="50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101-111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</w:tc>
      </w:tr>
    </w:tbl>
    <w:p w:rsidR="00A66B6C" w:rsidRDefault="00A66B6C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повышение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уровня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25F65" w:rsidRPr="00A66B6C">
        <w:rPr>
          <w:rFonts w:ascii="Times New Roman" w:hAnsi="Times New Roman"/>
          <w:color w:val="000000"/>
          <w:sz w:val="28"/>
          <w:szCs w:val="24"/>
        </w:rPr>
        <w:t>креатинфосфокиназы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МВ-фракции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25F65" w:rsidRPr="00A66B6C">
        <w:rPr>
          <w:rFonts w:ascii="Times New Roman" w:hAnsi="Times New Roman"/>
          <w:color w:val="000000"/>
          <w:sz w:val="28"/>
          <w:szCs w:val="24"/>
        </w:rPr>
        <w:t>креатинфосфокиназы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Анализ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мочи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Нечипоренко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21.03.2012: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Цвет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желтый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Прозрачность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мутная</w:t>
      </w:r>
    </w:p>
    <w:p w:rsidR="00525F65" w:rsidRPr="00A66B6C" w:rsidRDefault="00525F65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Удельный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1005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Реакция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5,0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Белок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0,525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Лейкоциты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700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Эритроциты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400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Цилиндры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нет</w:t>
      </w:r>
    </w:p>
    <w:p w:rsidR="0024678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25F65" w:rsidRPr="00A66B6C">
        <w:rPr>
          <w:rFonts w:ascii="Times New Roman" w:hAnsi="Times New Roman"/>
          <w:color w:val="000000"/>
          <w:sz w:val="28"/>
          <w:szCs w:val="24"/>
        </w:rPr>
        <w:t>гипостенурия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протеинурия.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ОАМ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19.03.2012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Цвет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желтый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Прозрачность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мутная</w:t>
      </w:r>
    </w:p>
    <w:p w:rsidR="00525F65" w:rsidRPr="00A66B6C" w:rsidRDefault="00525F65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Удельный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1010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Реакция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5,0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Белок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0,460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Эпителий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2-3-3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п/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зр</w:t>
      </w:r>
      <w:proofErr w:type="spellEnd"/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Лейкоциты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4-6-4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п/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зр</w:t>
      </w:r>
      <w:proofErr w:type="spellEnd"/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Эритроциты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единичные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Соли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фосфаты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Цилиндры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отсутствуют</w:t>
      </w:r>
    </w:p>
    <w:p w:rsidR="00281697" w:rsidRPr="00A66B6C" w:rsidRDefault="0028169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25F65" w:rsidRPr="00A66B6C">
        <w:rPr>
          <w:rFonts w:ascii="Times New Roman" w:hAnsi="Times New Roman"/>
          <w:color w:val="000000"/>
          <w:sz w:val="28"/>
          <w:szCs w:val="24"/>
        </w:rPr>
        <w:t>протеин</w:t>
      </w:r>
      <w:r w:rsidR="00642849" w:rsidRPr="00A66B6C">
        <w:rPr>
          <w:rFonts w:ascii="Times New Roman" w:hAnsi="Times New Roman"/>
          <w:color w:val="000000"/>
          <w:sz w:val="28"/>
          <w:szCs w:val="24"/>
        </w:rPr>
        <w:t>урия,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642849" w:rsidRPr="00A66B6C">
        <w:rPr>
          <w:rFonts w:ascii="Times New Roman" w:hAnsi="Times New Roman"/>
          <w:color w:val="000000"/>
          <w:sz w:val="28"/>
          <w:szCs w:val="24"/>
        </w:rPr>
        <w:t>гипостенурия</w:t>
      </w:r>
      <w:proofErr w:type="spellEnd"/>
      <w:r w:rsidR="00525F65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B40DEF" w:rsidRPr="00A66B6C" w:rsidRDefault="00B40DE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Осмотр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офтальмолога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19.03.2012</w:t>
      </w:r>
    </w:p>
    <w:p w:rsidR="00B40DEF" w:rsidRPr="00A66B6C" w:rsidRDefault="00B40DE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Окраска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диска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зрительного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нерва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розовая,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границы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четкие.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Сосуды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центре,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калибр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значительного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нарушения.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ближе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обычному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калибру,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уплотнена,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глаздное</w:t>
      </w:r>
      <w:proofErr w:type="spellEnd"/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–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тенденция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прямому.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слегка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расширены,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соотношение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сосудов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1:2.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Единично</w:t>
      </w:r>
    </w:p>
    <w:p w:rsidR="00B40DEF" w:rsidRPr="00A66B6C" w:rsidRDefault="00B40DE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salus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B40DEF" w:rsidRPr="00A66B6C" w:rsidRDefault="00B40DE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ангиопатия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сетчатки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гипертензивному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типу.</w:t>
      </w:r>
    </w:p>
    <w:p w:rsidR="00246787" w:rsidRPr="00A66B6C" w:rsidRDefault="00246787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ЭХОКАРДИОГРАФИЯ</w:t>
      </w:r>
    </w:p>
    <w:p w:rsidR="00383071" w:rsidRDefault="00383071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толщина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левого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желудочка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верхней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границе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нормы.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Диастолическая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дисфункция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левого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желудочка.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Аномально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расположенная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хорда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левого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желудочка.</w:t>
      </w:r>
    </w:p>
    <w:p w:rsidR="00383071" w:rsidRPr="00A66B6C" w:rsidRDefault="00383071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ЭЛЕКТРОКАРДИОГРАФИЯ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19.03.2012</w:t>
      </w:r>
    </w:p>
    <w:p w:rsidR="00383071" w:rsidRPr="00A66B6C" w:rsidRDefault="00383071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ритм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синусовый,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ЧСС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75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уд/мин,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ЭОС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отклонена,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позиция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полувертикальная,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нарушение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реполяризации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перегородочной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области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возможно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счет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субэндокардиальной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ишемии.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ЭЛЕКТРОКАРДИОГРАФИЯ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22.03.2012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динамики.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b/>
          <w:color w:val="000000"/>
          <w:sz w:val="28"/>
          <w:szCs w:val="24"/>
          <w:lang w:val="en-US"/>
        </w:rPr>
        <w:t>Rg</w:t>
      </w:r>
      <w:proofErr w:type="spellEnd"/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ОГК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22.03.2012</w:t>
      </w:r>
    </w:p>
    <w:p w:rsidR="00281697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воспалительных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изменений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легочной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ткани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выявлено,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корни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лёгких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мало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структурны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единичными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кальцинатами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Сердце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особенностей,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контуры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диафрагмы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деформированы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спайками,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боковые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синусы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особенностей,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передний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синус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запаян.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Кал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яйце-глист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19.03.2012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яйце-глист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найден.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Реакция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b/>
          <w:color w:val="000000"/>
          <w:sz w:val="28"/>
          <w:szCs w:val="24"/>
        </w:rPr>
        <w:t>Вассермана</w:t>
      </w:r>
      <w:proofErr w:type="spellEnd"/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19.03.2012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отрицательно.</w:t>
      </w:r>
    </w:p>
    <w:p w:rsidR="008906AF" w:rsidRPr="00A66B6C" w:rsidRDefault="008906AF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Динамическая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="00E03FAA" w:rsidRPr="00A66B6C">
        <w:rPr>
          <w:rFonts w:ascii="Times New Roman" w:hAnsi="Times New Roman"/>
          <w:b/>
          <w:color w:val="000000"/>
          <w:sz w:val="28"/>
          <w:szCs w:val="24"/>
        </w:rPr>
        <w:t>нефросцинтиграфия</w:t>
      </w:r>
      <w:proofErr w:type="spellEnd"/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E03FAA" w:rsidRPr="00A66B6C">
        <w:rPr>
          <w:rFonts w:ascii="Times New Roman" w:hAnsi="Times New Roman"/>
          <w:b/>
          <w:color w:val="000000"/>
          <w:sz w:val="28"/>
          <w:szCs w:val="24"/>
        </w:rPr>
        <w:t>01.12.2011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нефросцинтиграмм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проекциипочек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получено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изображение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отдельных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сегментов.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Среднепереонирующей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паренхимы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нечеткими,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неровными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контурами,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сниженным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наполнением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неравномерным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распределением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РФП.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обеими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почками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зарегистрирован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обструктивный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тип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кривых.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уменьшение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объема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функционирующей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паренхимы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обоих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выраженным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нарушение</w:t>
      </w:r>
      <w:r w:rsidR="009F3AEF" w:rsidRPr="00A66B6C">
        <w:rPr>
          <w:rFonts w:ascii="Times New Roman" w:hAnsi="Times New Roman"/>
          <w:color w:val="000000"/>
          <w:sz w:val="28"/>
          <w:szCs w:val="24"/>
        </w:rPr>
        <w:t>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секреторной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выделительной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функции.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4"/>
        </w:rPr>
        <w:t>УЗИ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органов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брюшной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4"/>
        </w:rPr>
        <w:t>01.12.2011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Печень: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неувеличена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левая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переднее-задний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размер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58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58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переднее-задний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размер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49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149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КВР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45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145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Контур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неровный,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край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сглажен,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эхогенность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умеренно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структура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неоднородная,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множеством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жидкостных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образований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диаметром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8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18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Желчные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протоки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расширены,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уплотнены,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сосудистый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рисунок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деформирован.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Воротная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10-</w:t>
      </w:r>
      <w:smartTag w:uri="urn:schemas-microsoft-com:office:smarttags" w:element="metricconverter">
        <w:smartTagPr>
          <w:attr w:name="ProductID" w:val="11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11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Селезеночные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7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Нижняя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8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18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E03FAA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Желчный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пузырь: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79*22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мм,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уплотнены,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утолщены,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изогнут.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негомогенное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содержимое.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Холедох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4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ED7019" w:rsidRPr="00A66B6C" w:rsidRDefault="00E03FAA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Поджелудочная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железа: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увеличена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(головка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25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тело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хвост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1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21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Pr="00A66B6C">
        <w:rPr>
          <w:rFonts w:ascii="Times New Roman" w:hAnsi="Times New Roman"/>
          <w:color w:val="000000"/>
          <w:sz w:val="28"/>
          <w:szCs w:val="24"/>
        </w:rPr>
        <w:t>)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К</w:t>
      </w:r>
      <w:r w:rsidRPr="00A66B6C">
        <w:rPr>
          <w:rFonts w:ascii="Times New Roman" w:hAnsi="Times New Roman"/>
          <w:color w:val="000000"/>
          <w:sz w:val="28"/>
          <w:szCs w:val="24"/>
        </w:rPr>
        <w:t>онтуры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ровные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нечеткие,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хогенность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обычная.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Структура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умеренно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неоднородная,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ED7019" w:rsidRPr="00A66B6C">
        <w:rPr>
          <w:rFonts w:ascii="Times New Roman" w:hAnsi="Times New Roman"/>
          <w:color w:val="000000"/>
          <w:sz w:val="28"/>
          <w:szCs w:val="24"/>
        </w:rPr>
        <w:t>Вирсунгов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D7019" w:rsidRPr="00A66B6C">
        <w:rPr>
          <w:rFonts w:ascii="Times New Roman" w:hAnsi="Times New Roman"/>
          <w:color w:val="000000"/>
          <w:sz w:val="28"/>
          <w:szCs w:val="24"/>
        </w:rPr>
        <w:t>проток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="00ED7019" w:rsidRPr="00A66B6C">
          <w:rPr>
            <w:rFonts w:ascii="Times New Roman" w:hAnsi="Times New Roman"/>
            <w:color w:val="000000"/>
            <w:sz w:val="28"/>
            <w:szCs w:val="24"/>
          </w:rPr>
          <w:t>2,5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="00ED7019"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="00ED7019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ED7019" w:rsidRPr="00A66B6C" w:rsidRDefault="00ED7019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Селезенка: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увеличена,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100*48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мм,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структура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однородная.</w:t>
      </w:r>
    </w:p>
    <w:p w:rsidR="00ED7019" w:rsidRPr="00A66B6C" w:rsidRDefault="00ED7019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Почки: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правая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170*73*85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мм,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левая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168*78*78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мм.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Контуры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нечеткие,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неровные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подвижность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сохранена,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положение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обычное.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синус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слои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дифференцируются,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представлены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жидкостными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образованиями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9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41 мм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41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</w:rPr>
          <w:t>мм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диаметре.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Между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ними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линейные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гиперэхогенные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включения.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Стенки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жидкостных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образований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неравномерно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уплотнены.</w:t>
      </w:r>
    </w:p>
    <w:p w:rsidR="00E03FAA" w:rsidRPr="00A66B6C" w:rsidRDefault="00ED7019" w:rsidP="00A66B6C">
      <w:pPr>
        <w:pStyle w:val="ListParagraph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Заключение: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диффузно-очаговые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изменения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поликистоз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Признаки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хронического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холецистита.</w:t>
      </w:r>
    </w:p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81697" w:rsidRPr="00A66B6C" w:rsidRDefault="00A66B6C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Таблица. </w:t>
      </w:r>
      <w:r w:rsidR="00281697" w:rsidRPr="00A66B6C">
        <w:rPr>
          <w:rFonts w:ascii="Times New Roman" w:hAnsi="Times New Roman"/>
          <w:color w:val="000000"/>
          <w:sz w:val="28"/>
          <w:szCs w:val="28"/>
        </w:rPr>
        <w:t>Дневник</w:t>
      </w:r>
      <w:r w:rsidRPr="00A66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8"/>
        </w:rPr>
        <w:t>течения</w:t>
      </w:r>
      <w:r w:rsidRPr="00A66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8"/>
        </w:rPr>
        <w:t>заболевания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984"/>
        <w:gridCol w:w="4200"/>
      </w:tblGrid>
      <w:tr w:rsidR="00281697" w:rsidRPr="00A66B6C" w:rsidTr="00A66B6C">
        <w:trPr>
          <w:jc w:val="center"/>
        </w:trPr>
        <w:tc>
          <w:tcPr>
            <w:tcW w:w="1526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4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ЧСС,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ЧД,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0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Дневник</w:t>
            </w:r>
          </w:p>
        </w:tc>
      </w:tr>
      <w:tr w:rsidR="00281697" w:rsidRPr="00A66B6C" w:rsidTr="00A66B6C">
        <w:trPr>
          <w:jc w:val="center"/>
        </w:trPr>
        <w:tc>
          <w:tcPr>
            <w:tcW w:w="1526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24.03.2012</w:t>
            </w:r>
          </w:p>
        </w:tc>
        <w:tc>
          <w:tcPr>
            <w:tcW w:w="1984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ЧСС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уд/мин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170/90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36.7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00" w:type="dxa"/>
          </w:tcPr>
          <w:p w:rsidR="009F3AEF" w:rsidRPr="00A66B6C" w:rsidRDefault="00281697" w:rsidP="00A66B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пациентом,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сбор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анамнеза.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осмотр.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Жалобы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выявленные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анамнеза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головные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боли,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утомляемость,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артериального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давления: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200/100;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раб</w:t>
            </w:r>
            <w:proofErr w:type="spellEnd"/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150/80,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носовое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кровотечение,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длительно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неостанавливающееся,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которое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заставило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обратиться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СМП.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момент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начала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курации</w:t>
            </w:r>
            <w:proofErr w:type="spellEnd"/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остались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следующие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жалобы: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головная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боль.</w:t>
            </w:r>
          </w:p>
          <w:p w:rsidR="00281697" w:rsidRPr="00A66B6C" w:rsidRDefault="00281697" w:rsidP="00A66B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Объективно: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состояние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сознание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ясное,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положение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активное.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Бледность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кожи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конъюктив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Кожа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сухая,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ногти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волосы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тусклые.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Дыхание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везикулярное,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хрипов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Перкуторный</w:t>
            </w:r>
            <w:proofErr w:type="spellEnd"/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звук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легочной.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Границы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легких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пределах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нормы.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Тоны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сердца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приглушены,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ясные,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шумов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Границы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сердца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пределах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нормы.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Живот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мягкий,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безболезненный.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Стул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норме,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отеков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</w:p>
          <w:p w:rsidR="009F3AEF" w:rsidRPr="00A66B6C" w:rsidRDefault="009F3AEF" w:rsidP="00A66B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время,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проведенное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был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проведен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ряд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лабораторно-инструментальных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исследований,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данным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которых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выявлено: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протеинурия,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гипостенурия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объема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функционирующей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паренхимы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обоих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почек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выраженным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нарушением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секреторной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выделительной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функции,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анемия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средней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степени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тяжести.</w:t>
            </w:r>
          </w:p>
          <w:p w:rsidR="00281697" w:rsidRPr="00A66B6C" w:rsidRDefault="00281697" w:rsidP="00A66B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1697" w:rsidRPr="00A66B6C" w:rsidTr="00A66B6C">
        <w:trPr>
          <w:jc w:val="center"/>
        </w:trPr>
        <w:tc>
          <w:tcPr>
            <w:tcW w:w="1526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25.03.2012</w:t>
            </w:r>
          </w:p>
        </w:tc>
        <w:tc>
          <w:tcPr>
            <w:tcW w:w="1984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ЧСС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62уд/мин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160/85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36.8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00" w:type="dxa"/>
          </w:tcPr>
          <w:p w:rsidR="00281697" w:rsidRPr="00A66B6C" w:rsidRDefault="00281697" w:rsidP="00A66B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Жалобы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головную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боль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повышенное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сохраняются.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Объективно: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состояние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сознание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ясное,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активное.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Кожные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покровы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конъюктивы</w:t>
            </w:r>
            <w:proofErr w:type="spellEnd"/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бледного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цвета.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Дыхание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везикулярное,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хрипов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Тоны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приглушены,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ритмичные.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Живот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мягкий,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безболезненный.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Стул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норме.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Отеков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</w:p>
        </w:tc>
      </w:tr>
      <w:tr w:rsidR="00281697" w:rsidRPr="00A66B6C" w:rsidTr="00A66B6C">
        <w:trPr>
          <w:jc w:val="center"/>
        </w:trPr>
        <w:tc>
          <w:tcPr>
            <w:tcW w:w="1526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27.03.2012</w:t>
            </w:r>
          </w:p>
        </w:tc>
        <w:tc>
          <w:tcPr>
            <w:tcW w:w="1984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ЧСС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уд/мин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140/80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ЧД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/мин</w:t>
            </w:r>
          </w:p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36.6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00" w:type="dxa"/>
          </w:tcPr>
          <w:p w:rsidR="00281697" w:rsidRPr="00A66B6C" w:rsidRDefault="00281697" w:rsidP="00A66B6C">
            <w:pPr>
              <w:tabs>
                <w:tab w:val="left" w:pos="552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фоне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проводимой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терапии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наблюдается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динамика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давление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снизилось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140/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80,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жалобы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головную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боль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сохраняются.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Объективно: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состояние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сознание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ясное,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положение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активное.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Кожные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покровы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F3AEF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конъюктив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бледного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цвета.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Дыхание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везикулярное,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хрипов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Тоны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приглушены,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ритмичные.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Живот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мягкий,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безболезненный.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Стул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норме.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Отеков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нет.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Пациент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готовится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A66B6C"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6B6C">
              <w:rPr>
                <w:rFonts w:ascii="Times New Roman" w:hAnsi="Times New Roman"/>
                <w:color w:val="000000"/>
                <w:sz w:val="20"/>
                <w:szCs w:val="20"/>
              </w:rPr>
              <w:t>выписке.</w:t>
            </w:r>
          </w:p>
        </w:tc>
      </w:tr>
    </w:tbl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Обоснование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окончательного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>диагноза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основании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данных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73074" w:rsidRPr="00A66B6C">
        <w:rPr>
          <w:rFonts w:ascii="Times New Roman" w:hAnsi="Times New Roman"/>
          <w:color w:val="000000"/>
          <w:sz w:val="28"/>
          <w:szCs w:val="24"/>
        </w:rPr>
        <w:t>лабороторно</w:t>
      </w:r>
      <w:proofErr w:type="spellEnd"/>
      <w:r w:rsidR="00573074" w:rsidRPr="00A66B6C">
        <w:rPr>
          <w:rFonts w:ascii="Times New Roman" w:hAnsi="Times New Roman"/>
          <w:color w:val="000000"/>
          <w:sz w:val="28"/>
          <w:szCs w:val="24"/>
        </w:rPr>
        <w:t>-инструментальных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диагноз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гипертонической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болезни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исключается,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т.к.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биохимическом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анализе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уровень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холестерина,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73074" w:rsidRPr="00A66B6C">
        <w:rPr>
          <w:rFonts w:ascii="Times New Roman" w:hAnsi="Times New Roman"/>
          <w:color w:val="000000"/>
          <w:sz w:val="28"/>
          <w:szCs w:val="24"/>
        </w:rPr>
        <w:t>ТАГов</w:t>
      </w:r>
      <w:proofErr w:type="spellEnd"/>
      <w:r w:rsidR="00573074"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ЛПНП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пределах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нормы,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нет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признаков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гипертрофии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левого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желудочка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ЭКГ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УЗИ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сердца,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нет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данных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73074" w:rsidRPr="00A66B6C">
        <w:rPr>
          <w:rFonts w:ascii="Times New Roman" w:hAnsi="Times New Roman"/>
          <w:color w:val="000000"/>
          <w:sz w:val="28"/>
          <w:szCs w:val="24"/>
        </w:rPr>
        <w:t>артериолосклероз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3074" w:rsidRPr="00A66B6C">
        <w:rPr>
          <w:rFonts w:ascii="Times New Roman" w:hAnsi="Times New Roman"/>
          <w:color w:val="000000"/>
          <w:sz w:val="28"/>
          <w:szCs w:val="24"/>
        </w:rPr>
        <w:t>сетчатки.</w:t>
      </w:r>
    </w:p>
    <w:p w:rsidR="00573074" w:rsidRPr="00A66B6C" w:rsidRDefault="00573074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Таким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образом,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окончательный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диагноз: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</w:rPr>
        <w:t>ХБП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  <w:lang w:val="en-US"/>
        </w:rPr>
        <w:t>IV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</w:rPr>
        <w:t>степень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(СКФ=16)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Поликистозная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Симптоматическая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гипертензия.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Анемия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средней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степени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тяжести.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</w:rPr>
        <w:t>Симптоматическая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</w:rPr>
        <w:t>артериальная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351B" w:rsidRPr="00A66B6C">
        <w:rPr>
          <w:rFonts w:ascii="Times New Roman" w:hAnsi="Times New Roman"/>
          <w:color w:val="000000"/>
          <w:sz w:val="28"/>
          <w:szCs w:val="24"/>
        </w:rPr>
        <w:t>гипертензия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степени,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риск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253C" w:rsidRPr="00A66B6C">
        <w:rPr>
          <w:rFonts w:ascii="Times New Roman" w:hAnsi="Times New Roman"/>
          <w:color w:val="000000"/>
          <w:sz w:val="28"/>
          <w:szCs w:val="24"/>
        </w:rPr>
        <w:t>4.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1590" w:rsidRPr="00A66B6C">
        <w:rPr>
          <w:rFonts w:ascii="Times New Roman" w:hAnsi="Times New Roman"/>
          <w:color w:val="000000"/>
          <w:sz w:val="28"/>
          <w:szCs w:val="24"/>
        </w:rPr>
        <w:t>ХСН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1590" w:rsidRPr="00A66B6C">
        <w:rPr>
          <w:rFonts w:ascii="Times New Roman" w:hAnsi="Times New Roman"/>
          <w:color w:val="000000"/>
          <w:sz w:val="28"/>
          <w:szCs w:val="24"/>
        </w:rPr>
        <w:t>0.</w:t>
      </w:r>
    </w:p>
    <w:p w:rsidR="00F4253C" w:rsidRPr="00A66B6C" w:rsidRDefault="00F4253C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Осложнения: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гипертонический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порядка: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носовое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кровотечение</w:t>
      </w:r>
    </w:p>
    <w:p w:rsidR="00281697" w:rsidRPr="00A66B6C" w:rsidRDefault="00F4253C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Сопутствующие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заболевания: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поликистоз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печени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Лечение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Лечение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основного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заболевания</w:t>
      </w:r>
    </w:p>
    <w:p w:rsidR="00151580" w:rsidRPr="00A66B6C" w:rsidRDefault="0015158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связи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тяжелой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степенью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ХБП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показан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гемодиализ.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Одновременно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ограничить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поваренной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жидкости.</w:t>
      </w:r>
    </w:p>
    <w:p w:rsidR="00151580" w:rsidRPr="00A66B6C" w:rsidRDefault="0007159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Лечение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симптоматической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гипертензии:</w:t>
      </w:r>
    </w:p>
    <w:p w:rsidR="00071590" w:rsidRPr="00A66B6C" w:rsidRDefault="0007159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Т.к.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биохимическом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анализе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наблюдается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гиперкалиемии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можно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рекомендовать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препараты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группы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ингибиторов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АПФ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каптоприл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эналаприл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необходим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контроль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калия.</w:t>
      </w:r>
    </w:p>
    <w:p w:rsidR="00071590" w:rsidRPr="00A66B6C" w:rsidRDefault="0007159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Enalapril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10,0</w:t>
      </w:r>
    </w:p>
    <w:p w:rsidR="00071590" w:rsidRPr="00A66B6C" w:rsidRDefault="0007159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20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in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tabulettis</w:t>
      </w:r>
      <w:proofErr w:type="spellEnd"/>
    </w:p>
    <w:p w:rsidR="00071590" w:rsidRPr="00A66B6C" w:rsidRDefault="00071590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внутрь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071590" w:rsidRPr="00A66B6C" w:rsidRDefault="000E7E32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Также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можно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этому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селективные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бета-блокаторы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метопролол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атенолол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данный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препарат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может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вызывать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брадикардию,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ортостатическую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гипотензию.</w:t>
      </w:r>
    </w:p>
    <w:p w:rsidR="000E7E32" w:rsidRPr="00A66B6C" w:rsidRDefault="000E7E32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Metoprolol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12,5</w:t>
      </w:r>
    </w:p>
    <w:p w:rsidR="000E7E32" w:rsidRPr="00A66B6C" w:rsidRDefault="000E7E32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20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in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tabulettis</w:t>
      </w:r>
      <w:proofErr w:type="spellEnd"/>
    </w:p>
    <w:p w:rsidR="000E7E32" w:rsidRPr="00A66B6C" w:rsidRDefault="000E7E32" w:rsidP="00A66B6C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внутрь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0E7E32" w:rsidRPr="00A66B6C" w:rsidRDefault="000E7E32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Либо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препараты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центрального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генеза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-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агонисты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A66B6C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66B6C">
        <w:rPr>
          <w:rFonts w:ascii="Times New Roman" w:hAnsi="Times New Roman"/>
          <w:color w:val="000000"/>
          <w:sz w:val="28"/>
          <w:szCs w:val="24"/>
        </w:rPr>
        <w:t>-имидазолиновых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рецепторов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-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альбарел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который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влияет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функцию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сердца,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вызывает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задержки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натрия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воды,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нарушает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метаболическое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равновесие,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сократимость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миокарда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электрофизиологические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индексы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остаются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изменения,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вызывает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ортостатической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гипотензии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т.ч.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лиц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пожилого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возраста),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влияет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почечный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кровоток,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клубочковую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фильтрацию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фильтрационную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фракцию</w:t>
      </w:r>
      <w:r w:rsidR="0021256F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Rilmenidine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1,0</w:t>
      </w:r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D.t.d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№</w:t>
      </w:r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20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in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tabulettis</w:t>
      </w:r>
      <w:proofErr w:type="spellEnd"/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внутрь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раз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день.</w:t>
      </w:r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Диуретики.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лечения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артериальной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гипертонии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используются,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основном,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салуретики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есть,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препараты,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усиливающие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выведение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организма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ионов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натрия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хлора.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Так,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выраженный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стойкий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гипотензивный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эффект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дают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тиазидные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Синтез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тиазидоподобных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диуретиков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индапамид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хлорталидон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)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был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предпринят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снижения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нежелательных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эффектов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длительного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приёма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больших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доз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тиазидных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диуретиков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(повышения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уровня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холестерина,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мочевой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кислоты).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Поскольку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иАПФ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повышают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уровень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калия,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комбинированное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применение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иАПФ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является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предпочтительным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lastRenderedPageBreak/>
        <w:t>некалийсберегающих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диуретиков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(т.е.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если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качестве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гипотензивной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будет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получать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иАПФ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прим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енение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285A8B" w:rsidRPr="00A66B6C">
        <w:rPr>
          <w:rFonts w:ascii="Times New Roman" w:hAnsi="Times New Roman"/>
          <w:color w:val="000000"/>
          <w:sz w:val="28"/>
          <w:szCs w:val="24"/>
        </w:rPr>
        <w:t>тиазидоподобных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диуретиков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будет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целесообразным</w:t>
      </w:r>
      <w:r w:rsidRPr="00A66B6C">
        <w:rPr>
          <w:rFonts w:ascii="Times New Roman" w:hAnsi="Times New Roman"/>
          <w:color w:val="000000"/>
          <w:sz w:val="28"/>
          <w:szCs w:val="24"/>
        </w:rPr>
        <w:t>)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="00285A8B" w:rsidRPr="00A66B6C">
        <w:rPr>
          <w:rFonts w:ascii="Times New Roman" w:hAnsi="Times New Roman"/>
          <w:color w:val="000000"/>
          <w:sz w:val="28"/>
          <w:szCs w:val="24"/>
          <w:lang w:val="en-US"/>
        </w:rPr>
        <w:t>Indapamide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  <w:lang w:val="en-US"/>
        </w:rPr>
        <w:t>2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="00285A8B" w:rsidRPr="00A66B6C">
        <w:rPr>
          <w:rFonts w:ascii="Times New Roman" w:hAnsi="Times New Roman"/>
          <w:color w:val="000000"/>
          <w:sz w:val="28"/>
          <w:szCs w:val="24"/>
          <w:lang w:val="en-US"/>
        </w:rPr>
        <w:t>5</w:t>
      </w:r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D.t.d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№</w:t>
      </w:r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20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in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tabulettis</w:t>
      </w:r>
      <w:proofErr w:type="spellEnd"/>
    </w:p>
    <w:p w:rsidR="0021256F" w:rsidRPr="00A66B6C" w:rsidRDefault="0021256F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внутрь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раз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день,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5A8B" w:rsidRPr="00A66B6C">
        <w:rPr>
          <w:rFonts w:ascii="Times New Roman" w:hAnsi="Times New Roman"/>
          <w:color w:val="000000"/>
          <w:sz w:val="28"/>
          <w:szCs w:val="24"/>
        </w:rPr>
        <w:t>утром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Т.к.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пациента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имеет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место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анемия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средней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степени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тяжести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фоне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хронической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болезни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почек,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необходим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стимулятор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эритропоэза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Например,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эпокрин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Sol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Epoetin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alfa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МЕ</w:t>
      </w:r>
    </w:p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66B6C">
          <w:rPr>
            <w:rFonts w:ascii="Times New Roman" w:hAnsi="Times New Roman"/>
            <w:color w:val="000000"/>
            <w:sz w:val="28"/>
            <w:szCs w:val="24"/>
          </w:rPr>
          <w:t>10</w:t>
        </w:r>
        <w:r w:rsidR="00A66B6C" w:rsidRPr="00A66B6C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66B6C">
          <w:rPr>
            <w:rFonts w:ascii="Times New Roman" w:hAnsi="Times New Roman"/>
            <w:color w:val="000000"/>
            <w:sz w:val="28"/>
            <w:szCs w:val="24"/>
            <w:lang w:val="en-US"/>
          </w:rPr>
          <w:t>in</w:t>
        </w:r>
      </w:smartTag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ampulis</w:t>
      </w:r>
      <w:proofErr w:type="spellEnd"/>
    </w:p>
    <w:p w:rsidR="005551BE" w:rsidRPr="00A66B6C" w:rsidRDefault="005551BE" w:rsidP="00A66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A66B6C">
        <w:rPr>
          <w:rFonts w:ascii="Times New Roman" w:hAnsi="Times New Roman"/>
          <w:color w:val="000000"/>
          <w:sz w:val="28"/>
          <w:szCs w:val="24"/>
        </w:rPr>
        <w:t>.: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Содержимое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ампулы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подкожно,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через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день.</w:t>
      </w:r>
    </w:p>
    <w:p w:rsidR="00281697" w:rsidRPr="00A66B6C" w:rsidRDefault="00151580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b/>
          <w:color w:val="000000"/>
          <w:sz w:val="28"/>
          <w:szCs w:val="28"/>
        </w:rPr>
        <w:t>Выписной</w:t>
      </w:r>
      <w:r w:rsidR="00A66B6C"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t>эпикриз</w:t>
      </w:r>
    </w:p>
    <w:p w:rsidR="00281697" w:rsidRPr="00A66B6C" w:rsidRDefault="00151580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Пациентка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находил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лечение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стац</w:t>
      </w:r>
      <w:r w:rsidRPr="00A66B6C">
        <w:rPr>
          <w:rFonts w:ascii="Times New Roman" w:hAnsi="Times New Roman"/>
          <w:color w:val="000000"/>
          <w:sz w:val="28"/>
          <w:szCs w:val="24"/>
        </w:rPr>
        <w:t>ионаре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3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Городской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больницы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17.03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.201</w:t>
      </w:r>
      <w:r w:rsidRPr="00A66B6C">
        <w:rPr>
          <w:rFonts w:ascii="Times New Roman" w:hAnsi="Times New Roman"/>
          <w:color w:val="000000"/>
          <w:sz w:val="28"/>
          <w:szCs w:val="24"/>
        </w:rPr>
        <w:t>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27.03.2012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За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это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время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проведено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следующее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1697" w:rsidRPr="00A66B6C">
        <w:rPr>
          <w:rFonts w:ascii="Times New Roman" w:hAnsi="Times New Roman"/>
          <w:color w:val="000000"/>
          <w:sz w:val="28"/>
          <w:szCs w:val="24"/>
        </w:rPr>
        <w:t>лечение:</w:t>
      </w:r>
    </w:p>
    <w:p w:rsidR="00285A8B" w:rsidRPr="00A66B6C" w:rsidRDefault="00285A8B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Enalapril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мг*2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Pr="00A66B6C">
        <w:rPr>
          <w:rFonts w:ascii="Times New Roman" w:hAnsi="Times New Roman"/>
          <w:color w:val="000000"/>
          <w:sz w:val="28"/>
          <w:szCs w:val="24"/>
        </w:rPr>
        <w:t>/день</w:t>
      </w:r>
    </w:p>
    <w:p w:rsidR="00285A8B" w:rsidRPr="00A66B6C" w:rsidRDefault="00285A8B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Metoprolol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12,5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мг*2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Pr="00A66B6C">
        <w:rPr>
          <w:rFonts w:ascii="Times New Roman" w:hAnsi="Times New Roman"/>
          <w:color w:val="000000"/>
          <w:sz w:val="28"/>
          <w:szCs w:val="24"/>
        </w:rPr>
        <w:t>/день</w:t>
      </w:r>
    </w:p>
    <w:p w:rsidR="00285A8B" w:rsidRPr="00A66B6C" w:rsidRDefault="00285A8B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Indapamide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2,5*1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р/день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утром</w:t>
      </w:r>
    </w:p>
    <w:p w:rsidR="00285A8B" w:rsidRPr="00A66B6C" w:rsidRDefault="00285A8B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MgSO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  <w:vertAlign w:val="subscript"/>
        </w:rPr>
        <w:t>4</w:t>
      </w:r>
      <w:r w:rsidR="00A66B6C" w:rsidRPr="00A66B6C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25%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-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10,0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в/в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№3</w:t>
      </w:r>
    </w:p>
    <w:p w:rsidR="00285A8B" w:rsidRPr="00A66B6C" w:rsidRDefault="00285A8B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Mildronat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5,0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+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  <w:lang w:val="en-US"/>
        </w:rPr>
        <w:t>NaCl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0,9%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-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20,0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5551BE" w:rsidRPr="00A66B6C">
        <w:rPr>
          <w:rFonts w:ascii="Times New Roman" w:hAnsi="Times New Roman"/>
          <w:color w:val="000000"/>
          <w:sz w:val="28"/>
          <w:szCs w:val="24"/>
        </w:rPr>
        <w:t>/в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5551BE" w:rsidRPr="00A66B6C">
        <w:rPr>
          <w:rFonts w:ascii="Times New Roman" w:hAnsi="Times New Roman"/>
          <w:color w:val="000000"/>
          <w:sz w:val="28"/>
          <w:szCs w:val="24"/>
        </w:rPr>
        <w:t>струйно</w:t>
      </w:r>
      <w:proofErr w:type="spellEnd"/>
    </w:p>
    <w:p w:rsidR="005551BE" w:rsidRPr="00A66B6C" w:rsidRDefault="005551BE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Эпокрин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2000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п/к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через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день</w:t>
      </w:r>
    </w:p>
    <w:p w:rsidR="00281697" w:rsidRPr="00A66B6C" w:rsidRDefault="00281697" w:rsidP="00A66B6C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Аллергических,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токсических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других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побочных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реакций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принимаемые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лекарства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обнаруживались.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В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результате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проводимой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терапии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наблюдается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66B6C">
        <w:rPr>
          <w:rFonts w:ascii="Times New Roman" w:hAnsi="Times New Roman"/>
          <w:color w:val="000000"/>
          <w:sz w:val="28"/>
          <w:szCs w:val="24"/>
        </w:rPr>
        <w:t>положительная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динамика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снизилось</w:t>
      </w:r>
      <w:proofErr w:type="spellEnd"/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АД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до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140/80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Пациент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выписан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рекомендациями</w:t>
      </w:r>
      <w:r w:rsidRPr="00A66B6C">
        <w:rPr>
          <w:rFonts w:ascii="Times New Roman" w:hAnsi="Times New Roman"/>
          <w:color w:val="000000"/>
          <w:sz w:val="28"/>
          <w:szCs w:val="24"/>
        </w:rPr>
        <w:t>.</w:t>
      </w:r>
    </w:p>
    <w:p w:rsidR="00281697" w:rsidRPr="00A66B6C" w:rsidRDefault="00281697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Рекомендовано: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наблюдения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терапевта,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консультация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нефролога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для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определения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дальнейшей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тактики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лечения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ХБП,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контроль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АД,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диета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ограничением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поваренной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соли.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Продолжить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прием</w:t>
      </w:r>
      <w:r w:rsidR="00A66B6C" w:rsidRPr="00A66B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51580" w:rsidRPr="00A66B6C">
        <w:rPr>
          <w:rFonts w:ascii="Times New Roman" w:hAnsi="Times New Roman"/>
          <w:color w:val="000000"/>
          <w:sz w:val="28"/>
          <w:szCs w:val="24"/>
        </w:rPr>
        <w:t>препаратов.</w:t>
      </w:r>
    </w:p>
    <w:p w:rsidR="00151580" w:rsidRDefault="00A66B6C" w:rsidP="00A66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A66B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1697" w:rsidRPr="00A66B6C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1.Н.А.Мухин. Внутренние болезни</w:t>
      </w:r>
      <w:r w:rsidR="003167AB" w:rsidRPr="00A66B6C">
        <w:rPr>
          <w:rFonts w:ascii="Times New Roman" w:hAnsi="Times New Roman"/>
          <w:color w:val="000000"/>
          <w:sz w:val="28"/>
          <w:szCs w:val="24"/>
        </w:rPr>
        <w:t>.</w:t>
      </w:r>
      <w:r w:rsidRPr="00A66B6C">
        <w:rPr>
          <w:rFonts w:ascii="Times New Roman" w:hAnsi="Times New Roman"/>
          <w:color w:val="000000"/>
          <w:sz w:val="28"/>
          <w:szCs w:val="24"/>
        </w:rPr>
        <w:t xml:space="preserve"> Том 2. – М.; ГЭОТАР-Медиа, 2005.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2.Лекции по внутренним болезням, IV, V курс.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3.А.И. Венгеровский. Лекции по фармакологии для врачей и провизоров. – Томск: STT, 2001.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4.Ресурсы интернета.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5.М.Д.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Машковский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 Лекарственные средства. – М.: ООО «Издательство Новая Волна», 2008.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6.Н.А.Мухин. Внутренние болезни . Том 2. – М.; ГЭОТАР-Медиа, 2005.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7.Лекции по внутренним болезням, V курс.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8.А.И. Венгеровский. Лекции по фармакологии для врачей и провизоров. – Томск: STT, 2001.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>9.Ресурсы интернета.</w:t>
      </w:r>
    </w:p>
    <w:p w:rsidR="00A66B6C" w:rsidRPr="00A66B6C" w:rsidRDefault="00A66B6C" w:rsidP="00A66B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66B6C">
        <w:rPr>
          <w:rFonts w:ascii="Times New Roman" w:hAnsi="Times New Roman"/>
          <w:color w:val="000000"/>
          <w:sz w:val="28"/>
          <w:szCs w:val="24"/>
        </w:rPr>
        <w:t xml:space="preserve">10.М.Д. </w:t>
      </w:r>
      <w:proofErr w:type="spellStart"/>
      <w:r w:rsidRPr="00A66B6C">
        <w:rPr>
          <w:rFonts w:ascii="Times New Roman" w:hAnsi="Times New Roman"/>
          <w:color w:val="000000"/>
          <w:sz w:val="28"/>
          <w:szCs w:val="24"/>
        </w:rPr>
        <w:t>Машковский</w:t>
      </w:r>
      <w:proofErr w:type="spellEnd"/>
      <w:r w:rsidRPr="00A66B6C">
        <w:rPr>
          <w:rFonts w:ascii="Times New Roman" w:hAnsi="Times New Roman"/>
          <w:color w:val="000000"/>
          <w:sz w:val="28"/>
          <w:szCs w:val="24"/>
        </w:rPr>
        <w:t>. Лекарственные средства. – М.: ООО «Издательство Новая Волна», 2008.</w:t>
      </w:r>
    </w:p>
    <w:sectPr w:rsidR="00A66B6C" w:rsidRPr="00A66B6C" w:rsidSect="00A66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B3" w:rsidRDefault="00A326B3" w:rsidP="00CC69DA">
      <w:pPr>
        <w:spacing w:after="0" w:line="240" w:lineRule="auto"/>
      </w:pPr>
      <w:r>
        <w:separator/>
      </w:r>
    </w:p>
  </w:endnote>
  <w:endnote w:type="continuationSeparator" w:id="0">
    <w:p w:rsidR="00A326B3" w:rsidRDefault="00A326B3" w:rsidP="00CC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B3" w:rsidRDefault="00A326B3" w:rsidP="00CC69DA">
      <w:pPr>
        <w:spacing w:after="0" w:line="240" w:lineRule="auto"/>
      </w:pPr>
      <w:r>
        <w:separator/>
      </w:r>
    </w:p>
  </w:footnote>
  <w:footnote w:type="continuationSeparator" w:id="0">
    <w:p w:rsidR="00A326B3" w:rsidRDefault="00A326B3" w:rsidP="00CC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8D"/>
    <w:multiLevelType w:val="hybridMultilevel"/>
    <w:tmpl w:val="D4F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743B"/>
    <w:multiLevelType w:val="hybridMultilevel"/>
    <w:tmpl w:val="B5C009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2D4635"/>
    <w:multiLevelType w:val="hybridMultilevel"/>
    <w:tmpl w:val="B92206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63230"/>
    <w:multiLevelType w:val="hybridMultilevel"/>
    <w:tmpl w:val="B92206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927AA"/>
    <w:multiLevelType w:val="hybridMultilevel"/>
    <w:tmpl w:val="B1E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0453"/>
    <w:multiLevelType w:val="hybridMultilevel"/>
    <w:tmpl w:val="4678F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C441C"/>
    <w:multiLevelType w:val="hybridMultilevel"/>
    <w:tmpl w:val="598CD8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3882D85"/>
    <w:multiLevelType w:val="hybridMultilevel"/>
    <w:tmpl w:val="F10E5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352EF"/>
    <w:multiLevelType w:val="hybridMultilevel"/>
    <w:tmpl w:val="A0288E80"/>
    <w:lvl w:ilvl="0" w:tplc="4BE4B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955DE"/>
    <w:multiLevelType w:val="hybridMultilevel"/>
    <w:tmpl w:val="EA763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063A3"/>
    <w:multiLevelType w:val="hybridMultilevel"/>
    <w:tmpl w:val="7ADCB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642D7"/>
    <w:multiLevelType w:val="hybridMultilevel"/>
    <w:tmpl w:val="93CC6EC6"/>
    <w:lvl w:ilvl="0" w:tplc="3D7E90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9217AD"/>
    <w:multiLevelType w:val="hybridMultilevel"/>
    <w:tmpl w:val="B2FE4B3E"/>
    <w:lvl w:ilvl="0" w:tplc="8076AC76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F1F5315"/>
    <w:multiLevelType w:val="hybridMultilevel"/>
    <w:tmpl w:val="B92206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6225C9"/>
    <w:multiLevelType w:val="hybridMultilevel"/>
    <w:tmpl w:val="7458B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479E7"/>
    <w:multiLevelType w:val="hybridMultilevel"/>
    <w:tmpl w:val="AA90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D168D"/>
    <w:multiLevelType w:val="hybridMultilevel"/>
    <w:tmpl w:val="AF64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02541"/>
    <w:multiLevelType w:val="hybridMultilevel"/>
    <w:tmpl w:val="CFA2F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A32CC"/>
    <w:multiLevelType w:val="hybridMultilevel"/>
    <w:tmpl w:val="DD92A4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A8C5859"/>
    <w:multiLevelType w:val="hybridMultilevel"/>
    <w:tmpl w:val="1DAA58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AEB7BCD"/>
    <w:multiLevelType w:val="hybridMultilevel"/>
    <w:tmpl w:val="CFFA57A0"/>
    <w:lvl w:ilvl="0" w:tplc="5642B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E0770"/>
    <w:multiLevelType w:val="hybridMultilevel"/>
    <w:tmpl w:val="09123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C4EB1"/>
    <w:multiLevelType w:val="hybridMultilevel"/>
    <w:tmpl w:val="3CE8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D0BBB"/>
    <w:multiLevelType w:val="hybridMultilevel"/>
    <w:tmpl w:val="1328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C3B8B"/>
    <w:multiLevelType w:val="hybridMultilevel"/>
    <w:tmpl w:val="05EE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5"/>
  </w:num>
  <w:num w:numId="5">
    <w:abstractNumId w:val="10"/>
  </w:num>
  <w:num w:numId="6">
    <w:abstractNumId w:val="22"/>
  </w:num>
  <w:num w:numId="7">
    <w:abstractNumId w:val="21"/>
  </w:num>
  <w:num w:numId="8">
    <w:abstractNumId w:val="14"/>
  </w:num>
  <w:num w:numId="9">
    <w:abstractNumId w:val="9"/>
  </w:num>
  <w:num w:numId="10">
    <w:abstractNumId w:val="7"/>
  </w:num>
  <w:num w:numId="11">
    <w:abstractNumId w:val="12"/>
  </w:num>
  <w:num w:numId="12">
    <w:abstractNumId w:val="15"/>
  </w:num>
  <w:num w:numId="13">
    <w:abstractNumId w:val="2"/>
  </w:num>
  <w:num w:numId="14">
    <w:abstractNumId w:val="11"/>
  </w:num>
  <w:num w:numId="15">
    <w:abstractNumId w:val="13"/>
  </w:num>
  <w:num w:numId="16">
    <w:abstractNumId w:val="3"/>
  </w:num>
  <w:num w:numId="17">
    <w:abstractNumId w:val="8"/>
  </w:num>
  <w:num w:numId="18">
    <w:abstractNumId w:val="24"/>
  </w:num>
  <w:num w:numId="19">
    <w:abstractNumId w:val="16"/>
  </w:num>
  <w:num w:numId="20">
    <w:abstractNumId w:val="1"/>
  </w:num>
  <w:num w:numId="21">
    <w:abstractNumId w:val="4"/>
  </w:num>
  <w:num w:numId="22">
    <w:abstractNumId w:val="19"/>
  </w:num>
  <w:num w:numId="23">
    <w:abstractNumId w:val="0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1E"/>
    <w:rsid w:val="00001029"/>
    <w:rsid w:val="00005F40"/>
    <w:rsid w:val="00025ADE"/>
    <w:rsid w:val="00027E7F"/>
    <w:rsid w:val="00042574"/>
    <w:rsid w:val="000625A6"/>
    <w:rsid w:val="000653FE"/>
    <w:rsid w:val="00071590"/>
    <w:rsid w:val="00085E55"/>
    <w:rsid w:val="0009053D"/>
    <w:rsid w:val="00090990"/>
    <w:rsid w:val="00095DFC"/>
    <w:rsid w:val="000B7A4A"/>
    <w:rsid w:val="000C3E71"/>
    <w:rsid w:val="000C5AB5"/>
    <w:rsid w:val="000E5ACE"/>
    <w:rsid w:val="000E7E32"/>
    <w:rsid w:val="001046DC"/>
    <w:rsid w:val="0012457A"/>
    <w:rsid w:val="001418AA"/>
    <w:rsid w:val="00151580"/>
    <w:rsid w:val="00162D87"/>
    <w:rsid w:val="00165DE8"/>
    <w:rsid w:val="00180554"/>
    <w:rsid w:val="001907F8"/>
    <w:rsid w:val="001A2A3B"/>
    <w:rsid w:val="001C4C8A"/>
    <w:rsid w:val="001C553B"/>
    <w:rsid w:val="001C6CDD"/>
    <w:rsid w:val="001D0B19"/>
    <w:rsid w:val="00200F87"/>
    <w:rsid w:val="0021256F"/>
    <w:rsid w:val="00215B5E"/>
    <w:rsid w:val="00246787"/>
    <w:rsid w:val="002712F0"/>
    <w:rsid w:val="00280046"/>
    <w:rsid w:val="00281697"/>
    <w:rsid w:val="00285A8B"/>
    <w:rsid w:val="0029026E"/>
    <w:rsid w:val="002A24C1"/>
    <w:rsid w:val="002B2A43"/>
    <w:rsid w:val="002D3BD8"/>
    <w:rsid w:val="002F1851"/>
    <w:rsid w:val="003167AB"/>
    <w:rsid w:val="00333BD9"/>
    <w:rsid w:val="0035395C"/>
    <w:rsid w:val="00356E9D"/>
    <w:rsid w:val="00363CDC"/>
    <w:rsid w:val="00383071"/>
    <w:rsid w:val="00396EC4"/>
    <w:rsid w:val="003A2A56"/>
    <w:rsid w:val="003A5F1C"/>
    <w:rsid w:val="003B5E02"/>
    <w:rsid w:val="003C55E5"/>
    <w:rsid w:val="003C5BA5"/>
    <w:rsid w:val="003C6736"/>
    <w:rsid w:val="0040260B"/>
    <w:rsid w:val="00417F3D"/>
    <w:rsid w:val="0043578D"/>
    <w:rsid w:val="00446103"/>
    <w:rsid w:val="00446B0C"/>
    <w:rsid w:val="0047670E"/>
    <w:rsid w:val="00492C66"/>
    <w:rsid w:val="00497C26"/>
    <w:rsid w:val="004A23FA"/>
    <w:rsid w:val="004A2B4C"/>
    <w:rsid w:val="004C1942"/>
    <w:rsid w:val="004D7533"/>
    <w:rsid w:val="005155A5"/>
    <w:rsid w:val="00525F65"/>
    <w:rsid w:val="00526319"/>
    <w:rsid w:val="005317A8"/>
    <w:rsid w:val="00532644"/>
    <w:rsid w:val="0054767D"/>
    <w:rsid w:val="005551BE"/>
    <w:rsid w:val="0055606F"/>
    <w:rsid w:val="00573074"/>
    <w:rsid w:val="00575D33"/>
    <w:rsid w:val="005A00C9"/>
    <w:rsid w:val="005A4A35"/>
    <w:rsid w:val="0060415D"/>
    <w:rsid w:val="00624C7B"/>
    <w:rsid w:val="006321AE"/>
    <w:rsid w:val="00636E31"/>
    <w:rsid w:val="00642849"/>
    <w:rsid w:val="00652CDD"/>
    <w:rsid w:val="006574E3"/>
    <w:rsid w:val="00662931"/>
    <w:rsid w:val="0068260E"/>
    <w:rsid w:val="006B200C"/>
    <w:rsid w:val="006B3236"/>
    <w:rsid w:val="006B6FCC"/>
    <w:rsid w:val="006C641E"/>
    <w:rsid w:val="006D360E"/>
    <w:rsid w:val="006F0ED5"/>
    <w:rsid w:val="00700E0D"/>
    <w:rsid w:val="00707821"/>
    <w:rsid w:val="007239B8"/>
    <w:rsid w:val="007377CC"/>
    <w:rsid w:val="007A5C79"/>
    <w:rsid w:val="007B7129"/>
    <w:rsid w:val="007C364D"/>
    <w:rsid w:val="007C72B0"/>
    <w:rsid w:val="007C7EDC"/>
    <w:rsid w:val="007D34FB"/>
    <w:rsid w:val="007E434A"/>
    <w:rsid w:val="008110E8"/>
    <w:rsid w:val="00816657"/>
    <w:rsid w:val="00826939"/>
    <w:rsid w:val="00835002"/>
    <w:rsid w:val="008443F3"/>
    <w:rsid w:val="008863CA"/>
    <w:rsid w:val="00887A8E"/>
    <w:rsid w:val="008906AF"/>
    <w:rsid w:val="008C54BC"/>
    <w:rsid w:val="008D2469"/>
    <w:rsid w:val="008D351B"/>
    <w:rsid w:val="008D6DE2"/>
    <w:rsid w:val="008E6C04"/>
    <w:rsid w:val="00900E7B"/>
    <w:rsid w:val="0093691A"/>
    <w:rsid w:val="00966E07"/>
    <w:rsid w:val="0097543F"/>
    <w:rsid w:val="00975D94"/>
    <w:rsid w:val="00976CE8"/>
    <w:rsid w:val="009819EE"/>
    <w:rsid w:val="00983CF7"/>
    <w:rsid w:val="009920B5"/>
    <w:rsid w:val="009936A9"/>
    <w:rsid w:val="009F3AEF"/>
    <w:rsid w:val="00A111F1"/>
    <w:rsid w:val="00A326B3"/>
    <w:rsid w:val="00A46013"/>
    <w:rsid w:val="00A66B6C"/>
    <w:rsid w:val="00A80396"/>
    <w:rsid w:val="00A90388"/>
    <w:rsid w:val="00B1286A"/>
    <w:rsid w:val="00B32212"/>
    <w:rsid w:val="00B33A11"/>
    <w:rsid w:val="00B4022F"/>
    <w:rsid w:val="00B40897"/>
    <w:rsid w:val="00B40DEF"/>
    <w:rsid w:val="00B40F8F"/>
    <w:rsid w:val="00BA7EB7"/>
    <w:rsid w:val="00BF384F"/>
    <w:rsid w:val="00C05C89"/>
    <w:rsid w:val="00C14BBB"/>
    <w:rsid w:val="00C30406"/>
    <w:rsid w:val="00C439BF"/>
    <w:rsid w:val="00C47E4C"/>
    <w:rsid w:val="00C67655"/>
    <w:rsid w:val="00CA4F71"/>
    <w:rsid w:val="00CC69DA"/>
    <w:rsid w:val="00CE5E5E"/>
    <w:rsid w:val="00CF5B6C"/>
    <w:rsid w:val="00D155B1"/>
    <w:rsid w:val="00D17230"/>
    <w:rsid w:val="00D17674"/>
    <w:rsid w:val="00D20BDB"/>
    <w:rsid w:val="00D22E9F"/>
    <w:rsid w:val="00D32A6C"/>
    <w:rsid w:val="00D4248A"/>
    <w:rsid w:val="00D63B14"/>
    <w:rsid w:val="00D70920"/>
    <w:rsid w:val="00D77E70"/>
    <w:rsid w:val="00DA25FD"/>
    <w:rsid w:val="00DA5B6A"/>
    <w:rsid w:val="00DB17F5"/>
    <w:rsid w:val="00DB2247"/>
    <w:rsid w:val="00DB5F77"/>
    <w:rsid w:val="00DC55E9"/>
    <w:rsid w:val="00DD1491"/>
    <w:rsid w:val="00DE1CEC"/>
    <w:rsid w:val="00DE29D4"/>
    <w:rsid w:val="00DF02BC"/>
    <w:rsid w:val="00DF7730"/>
    <w:rsid w:val="00E03FAA"/>
    <w:rsid w:val="00E066C6"/>
    <w:rsid w:val="00E14708"/>
    <w:rsid w:val="00E30BBC"/>
    <w:rsid w:val="00E43756"/>
    <w:rsid w:val="00E4411F"/>
    <w:rsid w:val="00E7449C"/>
    <w:rsid w:val="00E76303"/>
    <w:rsid w:val="00E845DA"/>
    <w:rsid w:val="00E9098F"/>
    <w:rsid w:val="00EA0437"/>
    <w:rsid w:val="00ED67E7"/>
    <w:rsid w:val="00ED7019"/>
    <w:rsid w:val="00EE7228"/>
    <w:rsid w:val="00EF3C57"/>
    <w:rsid w:val="00EF3C59"/>
    <w:rsid w:val="00F01C78"/>
    <w:rsid w:val="00F1530C"/>
    <w:rsid w:val="00F17F84"/>
    <w:rsid w:val="00F23C4B"/>
    <w:rsid w:val="00F4253C"/>
    <w:rsid w:val="00F611D3"/>
    <w:rsid w:val="00F85046"/>
    <w:rsid w:val="00F95C3B"/>
    <w:rsid w:val="00FB4287"/>
    <w:rsid w:val="00FC08DA"/>
    <w:rsid w:val="00FF09CF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23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E7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D0B19"/>
    <w:pPr>
      <w:keepNext/>
      <w:spacing w:after="0" w:line="240" w:lineRule="auto"/>
      <w:ind w:left="540" w:hanging="540"/>
      <w:jc w:val="center"/>
      <w:outlineLvl w:val="1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E7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D0B19"/>
    <w:rPr>
      <w:rFonts w:ascii="Times New Roman" w:hAnsi="Times New Roman" w:cs="Times New Roman"/>
      <w:b/>
      <w:sz w:val="24"/>
      <w:szCs w:val="24"/>
    </w:rPr>
  </w:style>
  <w:style w:type="paragraph" w:customStyle="1" w:styleId="ListParagraph">
    <w:name w:val="List Paragraph"/>
    <w:basedOn w:val="a"/>
    <w:rsid w:val="006C641E"/>
    <w:pPr>
      <w:ind w:left="720"/>
      <w:contextualSpacing/>
    </w:pPr>
  </w:style>
  <w:style w:type="paragraph" w:styleId="a3">
    <w:name w:val="header"/>
    <w:basedOn w:val="a"/>
    <w:link w:val="a4"/>
    <w:rsid w:val="00CC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CC69DA"/>
    <w:rPr>
      <w:rFonts w:cs="Times New Roman"/>
    </w:rPr>
  </w:style>
  <w:style w:type="paragraph" w:styleId="a5">
    <w:name w:val="footer"/>
    <w:basedOn w:val="a"/>
    <w:link w:val="a6"/>
    <w:semiHidden/>
    <w:rsid w:val="00CC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CC69DA"/>
    <w:rPr>
      <w:rFonts w:cs="Times New Roman"/>
    </w:rPr>
  </w:style>
  <w:style w:type="table" w:styleId="a7">
    <w:name w:val="Table Grid"/>
    <w:basedOn w:val="a1"/>
    <w:rsid w:val="00CC69D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86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23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E7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D0B19"/>
    <w:pPr>
      <w:keepNext/>
      <w:spacing w:after="0" w:line="240" w:lineRule="auto"/>
      <w:ind w:left="540" w:hanging="540"/>
      <w:jc w:val="center"/>
      <w:outlineLvl w:val="1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E7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D0B19"/>
    <w:rPr>
      <w:rFonts w:ascii="Times New Roman" w:hAnsi="Times New Roman" w:cs="Times New Roman"/>
      <w:b/>
      <w:sz w:val="24"/>
      <w:szCs w:val="24"/>
    </w:rPr>
  </w:style>
  <w:style w:type="paragraph" w:customStyle="1" w:styleId="ListParagraph">
    <w:name w:val="List Paragraph"/>
    <w:basedOn w:val="a"/>
    <w:rsid w:val="006C641E"/>
    <w:pPr>
      <w:ind w:left="720"/>
      <w:contextualSpacing/>
    </w:pPr>
  </w:style>
  <w:style w:type="paragraph" w:styleId="a3">
    <w:name w:val="header"/>
    <w:basedOn w:val="a"/>
    <w:link w:val="a4"/>
    <w:rsid w:val="00CC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CC69DA"/>
    <w:rPr>
      <w:rFonts w:cs="Times New Roman"/>
    </w:rPr>
  </w:style>
  <w:style w:type="paragraph" w:styleId="a5">
    <w:name w:val="footer"/>
    <w:basedOn w:val="a"/>
    <w:link w:val="a6"/>
    <w:semiHidden/>
    <w:rsid w:val="00CC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CC69DA"/>
    <w:rPr>
      <w:rFonts w:cs="Times New Roman"/>
    </w:rPr>
  </w:style>
  <w:style w:type="table" w:styleId="a7">
    <w:name w:val="Table Grid"/>
    <w:basedOn w:val="a1"/>
    <w:rsid w:val="00CC69D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86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Официальные данные</vt:lpstr>
    </vt:vector>
  </TitlesOfParts>
  <Company>Microsoft</Company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</dc:title>
  <dc:creator>Admin</dc:creator>
  <cp:lastModifiedBy>Igor</cp:lastModifiedBy>
  <cp:revision>2</cp:revision>
  <dcterms:created xsi:type="dcterms:W3CDTF">2024-05-10T10:19:00Z</dcterms:created>
  <dcterms:modified xsi:type="dcterms:W3CDTF">2024-05-10T10:19:00Z</dcterms:modified>
</cp:coreProperties>
</file>