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D2" w:rsidRDefault="004813D2" w:rsidP="00FA34EF">
      <w:pPr>
        <w:pStyle w:val="1"/>
        <w:numPr>
          <w:ilvl w:val="0"/>
          <w:numId w:val="2"/>
        </w:num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Паспортная часть</w:t>
      </w:r>
    </w:p>
    <w:p w:rsidR="004813D2" w:rsidRDefault="004813D2">
      <w:pPr>
        <w:rPr>
          <w:szCs w:val="26"/>
        </w:rPr>
      </w:pP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Ф.И.О</w:t>
      </w:r>
      <w:r>
        <w:rPr>
          <w:szCs w:val="26"/>
        </w:rPr>
        <w:t xml:space="preserve">.: 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Возраст:</w:t>
      </w:r>
      <w:r>
        <w:rPr>
          <w:szCs w:val="26"/>
        </w:rPr>
        <w:t xml:space="preserve"> 63 года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Профессия:</w:t>
      </w:r>
      <w:r>
        <w:rPr>
          <w:szCs w:val="26"/>
        </w:rPr>
        <w:t xml:space="preserve"> пенсионер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Дата рождения:</w:t>
      </w:r>
      <w:r>
        <w:rPr>
          <w:szCs w:val="26"/>
        </w:rPr>
        <w:t xml:space="preserve"> 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Место рождения</w:t>
      </w:r>
      <w:r>
        <w:rPr>
          <w:szCs w:val="26"/>
        </w:rPr>
        <w:t xml:space="preserve">: 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Дата поступления:</w:t>
      </w:r>
      <w:r>
        <w:rPr>
          <w:szCs w:val="26"/>
        </w:rPr>
        <w:t xml:space="preserve"> 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Диагноз:</w:t>
      </w:r>
      <w:r>
        <w:rPr>
          <w:szCs w:val="26"/>
        </w:rPr>
        <w:t xml:space="preserve"> Хроническая подагра: олигоартрит.  Фаза обострения. Внутрикостные т</w:t>
      </w:r>
      <w:r>
        <w:rPr>
          <w:szCs w:val="26"/>
        </w:rPr>
        <w:t>о</w:t>
      </w:r>
      <w:r>
        <w:rPr>
          <w:szCs w:val="26"/>
        </w:rPr>
        <w:t xml:space="preserve">фусы. </w:t>
      </w:r>
    </w:p>
    <w:p w:rsidR="004813D2" w:rsidRDefault="004813D2">
      <w:pPr>
        <w:ind w:firstLine="0"/>
        <w:rPr>
          <w:szCs w:val="26"/>
        </w:rPr>
      </w:pPr>
      <w:r>
        <w:rPr>
          <w:b/>
          <w:szCs w:val="26"/>
        </w:rPr>
        <w:t>Сопутствующие заболевания:</w:t>
      </w:r>
      <w:r>
        <w:rPr>
          <w:szCs w:val="26"/>
        </w:rPr>
        <w:t xml:space="preserve"> Гипертоническая болезнь, </w:t>
      </w:r>
      <w:r>
        <w:rPr>
          <w:szCs w:val="26"/>
          <w:lang w:val="en-US"/>
        </w:rPr>
        <w:t>I</w:t>
      </w:r>
      <w:r>
        <w:rPr>
          <w:szCs w:val="26"/>
        </w:rPr>
        <w:t>I стадия, II степень,  в</w:t>
      </w:r>
      <w:r>
        <w:rPr>
          <w:szCs w:val="26"/>
        </w:rPr>
        <w:t>ы</w:t>
      </w:r>
      <w:r>
        <w:rPr>
          <w:szCs w:val="26"/>
        </w:rPr>
        <w:t>сокий риск (факторы риска: возраст, пол, наследственный анамнез; поражение орг</w:t>
      </w:r>
      <w:r>
        <w:rPr>
          <w:szCs w:val="26"/>
        </w:rPr>
        <w:t>а</w:t>
      </w:r>
      <w:r>
        <w:rPr>
          <w:szCs w:val="26"/>
        </w:rPr>
        <w:t>нов-мишеней: гипертензивный артериосклероз сетча</w:t>
      </w:r>
      <w:r>
        <w:rPr>
          <w:szCs w:val="26"/>
        </w:rPr>
        <w:t>т</w:t>
      </w:r>
      <w:r>
        <w:rPr>
          <w:szCs w:val="26"/>
        </w:rPr>
        <w:t>ки).</w:t>
      </w:r>
    </w:p>
    <w:p w:rsidR="004813D2" w:rsidRDefault="004813D2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  <w:u w:val="single"/>
        </w:rPr>
        <w:lastRenderedPageBreak/>
        <w:t>Анамнез</w:t>
      </w:r>
    </w:p>
    <w:p w:rsidR="004813D2" w:rsidRDefault="004813D2">
      <w:pPr>
        <w:pStyle w:val="3"/>
        <w:numPr>
          <w:ilvl w:val="0"/>
          <w:numId w:val="0"/>
        </w:numPr>
      </w:pPr>
      <w:r>
        <w:t>Жалобы при поступлении.</w:t>
      </w:r>
    </w:p>
    <w:p w:rsidR="004813D2" w:rsidRDefault="004813D2">
      <w:pPr>
        <w:ind w:firstLine="0"/>
        <w:rPr>
          <w:szCs w:val="26"/>
        </w:rPr>
      </w:pPr>
      <w:r>
        <w:rPr>
          <w:szCs w:val="26"/>
        </w:rPr>
        <w:t>Больной при опросе предъявил следующие жалобы: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на внезапно появившиеся, сильные, ноющие боли в первых плюснефаланговых суставах обеих стоп. Боли не стихающие, усиливающие при физической нагрузке, к вечеру и н</w:t>
      </w:r>
      <w:r>
        <w:rPr>
          <w:szCs w:val="26"/>
        </w:rPr>
        <w:t>о</w:t>
      </w:r>
      <w:r>
        <w:rPr>
          <w:szCs w:val="26"/>
        </w:rPr>
        <w:t>чью;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 xml:space="preserve">покраснение кожи над суставами; 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ограничение движения в первых плюснефаланговых су</w:t>
      </w:r>
      <w:r>
        <w:rPr>
          <w:szCs w:val="26"/>
        </w:rPr>
        <w:t>с</w:t>
      </w:r>
      <w:r>
        <w:rPr>
          <w:szCs w:val="26"/>
        </w:rPr>
        <w:t>тавах обеих стоп;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на отечность  первых плюснефаланговых су</w:t>
      </w:r>
      <w:r>
        <w:rPr>
          <w:szCs w:val="26"/>
        </w:rPr>
        <w:t>с</w:t>
      </w:r>
      <w:r>
        <w:rPr>
          <w:szCs w:val="26"/>
        </w:rPr>
        <w:t>тавов;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на отечность голеностопных суставов;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на локальное повышение температуры над первыми плюснефаланговыми сустав</w:t>
      </w:r>
      <w:r>
        <w:rPr>
          <w:szCs w:val="26"/>
        </w:rPr>
        <w:t>а</w:t>
      </w:r>
      <w:r>
        <w:rPr>
          <w:szCs w:val="26"/>
        </w:rPr>
        <w:t>ми;</w:t>
      </w:r>
    </w:p>
    <w:p w:rsidR="004813D2" w:rsidRDefault="004813D2">
      <w:pPr>
        <w:pStyle w:val="3"/>
        <w:numPr>
          <w:ilvl w:val="0"/>
          <w:numId w:val="0"/>
        </w:numPr>
      </w:pPr>
      <w:r>
        <w:t>Дополнительные жалобы.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шум в ушах;</w:t>
      </w:r>
    </w:p>
    <w:p w:rsidR="004813D2" w:rsidRDefault="004813D2" w:rsidP="00FA34EF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головные боли, самостоятельно проходящие через 2-4 часа;</w:t>
      </w:r>
    </w:p>
    <w:p w:rsidR="004813D2" w:rsidRDefault="004813D2">
      <w:pPr>
        <w:pStyle w:val="3"/>
        <w:numPr>
          <w:ilvl w:val="0"/>
          <w:numId w:val="0"/>
        </w:numPr>
      </w:pPr>
      <w:r>
        <w:t>Анамнез настоящего заболевания</w:t>
      </w:r>
    </w:p>
    <w:p w:rsidR="004813D2" w:rsidRDefault="004813D2">
      <w:pPr>
        <w:rPr>
          <w:szCs w:val="26"/>
        </w:rPr>
      </w:pPr>
      <w:r>
        <w:rPr>
          <w:szCs w:val="26"/>
        </w:rPr>
        <w:t>Впервые боли в первых плюснефаланговых су</w:t>
      </w:r>
      <w:r>
        <w:rPr>
          <w:szCs w:val="26"/>
        </w:rPr>
        <w:t>с</w:t>
      </w:r>
      <w:r>
        <w:rPr>
          <w:szCs w:val="26"/>
        </w:rPr>
        <w:t>тавах пациент заметил 5 лет назад. Когда в первом плюснефаланговом суставе правой стопы, на фоне по</w:t>
      </w:r>
      <w:r>
        <w:rPr>
          <w:szCs w:val="26"/>
        </w:rPr>
        <w:t>л</w:t>
      </w:r>
      <w:r>
        <w:rPr>
          <w:szCs w:val="26"/>
        </w:rPr>
        <w:t>ного здоровья, внезапно возникла боль. Боль носила ноющий характер, неи</w:t>
      </w:r>
      <w:r>
        <w:rPr>
          <w:szCs w:val="26"/>
        </w:rPr>
        <w:t>н</w:t>
      </w:r>
      <w:r>
        <w:rPr>
          <w:szCs w:val="26"/>
        </w:rPr>
        <w:t>тенсивной силы, чаще появлалась в вечернее или ночное время. Внешне сустав не изменялся, температура не п</w:t>
      </w:r>
      <w:r>
        <w:rPr>
          <w:szCs w:val="26"/>
        </w:rPr>
        <w:t>о</w:t>
      </w:r>
      <w:r>
        <w:rPr>
          <w:szCs w:val="26"/>
        </w:rPr>
        <w:t>вышалась, только иногда сустав слегка отекал. Боль проходила через 2-3 дня.  Иногда боль возникала в первом плюснефаланговом суставе левой стопы и имела идентичную клиническую картину. Такие эпизоды «артрита» пациента беспокоили раз в 1-2 месяца. По поводу возникших болей к врачам не обращался, лечился дома применяя теплые солевые ва</w:t>
      </w:r>
      <w:r>
        <w:rPr>
          <w:szCs w:val="26"/>
        </w:rPr>
        <w:t>н</w:t>
      </w:r>
      <w:r>
        <w:rPr>
          <w:szCs w:val="26"/>
        </w:rPr>
        <w:t>ночки.</w:t>
      </w:r>
    </w:p>
    <w:p w:rsidR="004813D2" w:rsidRDefault="004813D2">
      <w:pPr>
        <w:rPr>
          <w:szCs w:val="26"/>
        </w:rPr>
      </w:pPr>
      <w:r>
        <w:rPr>
          <w:szCs w:val="26"/>
        </w:rPr>
        <w:t>1 января 2003 года внезапно, посреди ночи, возникла острая сильнейшая боль в первом плюснефаланговом суставе правой стопы. К утру сустав отек, стал г</w:t>
      </w:r>
      <w:r>
        <w:rPr>
          <w:szCs w:val="26"/>
        </w:rPr>
        <w:t>о</w:t>
      </w:r>
      <w:r>
        <w:rPr>
          <w:szCs w:val="26"/>
        </w:rPr>
        <w:t>рячим. При этом общая температура не повышалась. Движения, как и в первом плюснеф</w:t>
      </w:r>
      <w:r>
        <w:rPr>
          <w:szCs w:val="26"/>
        </w:rPr>
        <w:t>а</w:t>
      </w:r>
      <w:r>
        <w:rPr>
          <w:szCs w:val="26"/>
        </w:rPr>
        <w:t>ланговом суставе, так и в голеностопном было ограничено. В это время пациент находился на поезде Москва-Томск. По приезду в Томск пациент попытался снизить болевые ощ</w:t>
      </w:r>
      <w:r>
        <w:rPr>
          <w:szCs w:val="26"/>
        </w:rPr>
        <w:t>у</w:t>
      </w:r>
      <w:r>
        <w:rPr>
          <w:szCs w:val="26"/>
        </w:rPr>
        <w:t>щения  в суставе, применяя теплые солевые ванночки. Боль усиливалась к вечеру и ночью. Но улучшения не наступало. Сильная боль держалась 5-6 дней, и</w:t>
      </w:r>
      <w:r>
        <w:rPr>
          <w:szCs w:val="26"/>
        </w:rPr>
        <w:t>н</w:t>
      </w:r>
      <w:r>
        <w:rPr>
          <w:szCs w:val="26"/>
        </w:rPr>
        <w:t>тенсивность ее уменьшилась. И в середине января  обратился в хирургическое отд</w:t>
      </w:r>
      <w:r>
        <w:rPr>
          <w:szCs w:val="26"/>
        </w:rPr>
        <w:t>е</w:t>
      </w:r>
      <w:r>
        <w:rPr>
          <w:szCs w:val="26"/>
        </w:rPr>
        <w:t>ление СГМУ по поводу рецедивирущего артрита, где пациенту было назначено леч</w:t>
      </w:r>
      <w:r>
        <w:rPr>
          <w:szCs w:val="26"/>
        </w:rPr>
        <w:t>е</w:t>
      </w:r>
      <w:r>
        <w:rPr>
          <w:szCs w:val="26"/>
        </w:rPr>
        <w:t>ние – ди</w:t>
      </w:r>
      <w:r>
        <w:rPr>
          <w:szCs w:val="26"/>
        </w:rPr>
        <w:t>к</w:t>
      </w:r>
      <w:r>
        <w:rPr>
          <w:szCs w:val="26"/>
        </w:rPr>
        <w:t>лофенак.  Пройдя самостоятельно курс лечении (20 по 31 января) состояние улучшилось – боль и отечность уменьшились, кожа над суставом приобрела синю</w:t>
      </w:r>
      <w:r>
        <w:rPr>
          <w:szCs w:val="26"/>
        </w:rPr>
        <w:t>ш</w:t>
      </w:r>
      <w:r>
        <w:rPr>
          <w:szCs w:val="26"/>
        </w:rPr>
        <w:t>ный отт</w:t>
      </w:r>
      <w:r>
        <w:rPr>
          <w:szCs w:val="26"/>
        </w:rPr>
        <w:t>е</w:t>
      </w:r>
      <w:r>
        <w:rPr>
          <w:szCs w:val="26"/>
        </w:rPr>
        <w:t>нок.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Почувствовав улучшение,  при прогулке 3 февраля у больного снова возникла ре</w:t>
      </w:r>
      <w:r>
        <w:rPr>
          <w:szCs w:val="26"/>
        </w:rPr>
        <w:t>з</w:t>
      </w:r>
      <w:r>
        <w:rPr>
          <w:szCs w:val="26"/>
        </w:rPr>
        <w:t>кая боль  в первом плюснефаланговом суставе правой стопы. Внешне сустав  также отек, повысилась температура. Пациент повторно обратился в хирургическое отдел</w:t>
      </w:r>
      <w:r>
        <w:rPr>
          <w:szCs w:val="26"/>
        </w:rPr>
        <w:t>е</w:t>
      </w:r>
      <w:r>
        <w:rPr>
          <w:szCs w:val="26"/>
        </w:rPr>
        <w:t>ние СГМУ, где ему было назначен повторный курс НПВС и физиолечение (лазероо</w:t>
      </w:r>
      <w:r>
        <w:rPr>
          <w:szCs w:val="26"/>
        </w:rPr>
        <w:t>б</w:t>
      </w:r>
      <w:r>
        <w:rPr>
          <w:szCs w:val="26"/>
        </w:rPr>
        <w:t>лучение). На третий сеанс (8 февраля) физиолечения у больного появились аналоги</w:t>
      </w:r>
      <w:r>
        <w:rPr>
          <w:szCs w:val="26"/>
        </w:rPr>
        <w:t>ч</w:t>
      </w:r>
      <w:r>
        <w:rPr>
          <w:szCs w:val="26"/>
        </w:rPr>
        <w:t>ные боли в первом плюснефаланговом суставе левой стопы. Физиолечение было о</w:t>
      </w:r>
      <w:r>
        <w:rPr>
          <w:szCs w:val="26"/>
        </w:rPr>
        <w:t>т</w:t>
      </w:r>
      <w:r>
        <w:rPr>
          <w:szCs w:val="26"/>
        </w:rPr>
        <w:t>менено. После курса лечения (НПВС) состояние опять улучшилось (уменьшились б</w:t>
      </w:r>
      <w:r>
        <w:rPr>
          <w:szCs w:val="26"/>
        </w:rPr>
        <w:t>о</w:t>
      </w:r>
      <w:r>
        <w:rPr>
          <w:szCs w:val="26"/>
        </w:rPr>
        <w:t>левые ощущения, оте</w:t>
      </w:r>
      <w:r>
        <w:rPr>
          <w:szCs w:val="26"/>
        </w:rPr>
        <w:t>ч</w:t>
      </w:r>
      <w:r>
        <w:rPr>
          <w:szCs w:val="26"/>
        </w:rPr>
        <w:t xml:space="preserve">ность сустава). Но в конце февраля опять возник приступ болей </w:t>
      </w:r>
      <w:r>
        <w:rPr>
          <w:szCs w:val="26"/>
        </w:rPr>
        <w:lastRenderedPageBreak/>
        <w:t>в обоих плюснефаланговых суставах стоп. Больной самостоятельно принимал дикл</w:t>
      </w:r>
      <w:r>
        <w:rPr>
          <w:szCs w:val="26"/>
        </w:rPr>
        <w:t>о</w:t>
      </w:r>
      <w:r>
        <w:rPr>
          <w:szCs w:val="26"/>
        </w:rPr>
        <w:t>фенак, но состояние не улучшилось, и больной был в плановом порядке госпитализ</w:t>
      </w:r>
      <w:r>
        <w:rPr>
          <w:szCs w:val="26"/>
        </w:rPr>
        <w:t>и</w:t>
      </w:r>
      <w:r>
        <w:rPr>
          <w:szCs w:val="26"/>
        </w:rPr>
        <w:t>рован в клиники факультетской терапии в апреле 2003 года, для установки ди</w:t>
      </w:r>
      <w:r>
        <w:rPr>
          <w:szCs w:val="26"/>
        </w:rPr>
        <w:t>а</w:t>
      </w:r>
      <w:r>
        <w:rPr>
          <w:szCs w:val="26"/>
        </w:rPr>
        <w:t>гноза и подбора леч</w:t>
      </w:r>
      <w:r>
        <w:rPr>
          <w:szCs w:val="26"/>
        </w:rPr>
        <w:t>е</w:t>
      </w:r>
      <w:r>
        <w:rPr>
          <w:szCs w:val="26"/>
        </w:rPr>
        <w:t>нии.</w:t>
      </w:r>
    </w:p>
    <w:p w:rsidR="004813D2" w:rsidRDefault="004813D2">
      <w:pPr>
        <w:rPr>
          <w:szCs w:val="26"/>
        </w:rPr>
      </w:pPr>
    </w:p>
    <w:p w:rsidR="004813D2" w:rsidRDefault="004813D2">
      <w:pPr>
        <w:pStyle w:val="3"/>
        <w:numPr>
          <w:ilvl w:val="0"/>
          <w:numId w:val="0"/>
        </w:numPr>
      </w:pPr>
      <w:r>
        <w:t>Анамнез жизни больного.</w:t>
      </w:r>
    </w:p>
    <w:p w:rsidR="004813D2" w:rsidRDefault="004813D2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Краткие биографические данные по периодам жизни.</w:t>
      </w:r>
    </w:p>
    <w:p w:rsidR="004813D2" w:rsidRDefault="004813D2">
      <w:pPr>
        <w:rPr>
          <w:szCs w:val="26"/>
        </w:rPr>
      </w:pPr>
      <w:r>
        <w:rPr>
          <w:szCs w:val="26"/>
        </w:rPr>
        <w:t>Родился 6 ребенком.  Рос и ра</w:t>
      </w:r>
      <w:r>
        <w:rPr>
          <w:szCs w:val="26"/>
        </w:rPr>
        <w:t>з</w:t>
      </w:r>
      <w:r>
        <w:rPr>
          <w:szCs w:val="26"/>
        </w:rPr>
        <w:t>вивался в соответствии с возрастными нормами, без каких либо отклонений. В школу пошел в 6 лет. Закончил 8 классов. После школы р</w:t>
      </w:r>
      <w:r>
        <w:rPr>
          <w:szCs w:val="26"/>
        </w:rPr>
        <w:t>а</w:t>
      </w:r>
      <w:r>
        <w:rPr>
          <w:szCs w:val="26"/>
        </w:rPr>
        <w:t>ботал по хозяйству. В 1958 г</w:t>
      </w:r>
      <w:r>
        <w:rPr>
          <w:szCs w:val="26"/>
        </w:rPr>
        <w:t>о</w:t>
      </w:r>
      <w:r>
        <w:rPr>
          <w:szCs w:val="26"/>
        </w:rPr>
        <w:t>ду поехал на уборку целены, где проработал лето. В 59 году устроился на стройку Каза</w:t>
      </w:r>
      <w:r>
        <w:rPr>
          <w:szCs w:val="26"/>
        </w:rPr>
        <w:t>х</w:t>
      </w:r>
      <w:r>
        <w:rPr>
          <w:szCs w:val="26"/>
        </w:rPr>
        <w:t>ского Металлургического завода. В 1961-63 годах служил во внутренних во</w:t>
      </w:r>
      <w:r>
        <w:rPr>
          <w:szCs w:val="26"/>
        </w:rPr>
        <w:t>й</w:t>
      </w:r>
      <w:r>
        <w:rPr>
          <w:szCs w:val="26"/>
        </w:rPr>
        <w:t>сках. После армии в 1964 году, устроился рабочим на Завод синтетического каучука (Беларусь), где проработал до 2000 года. С 1990 года – на пенсии (особо вредные у</w:t>
      </w:r>
      <w:r>
        <w:rPr>
          <w:szCs w:val="26"/>
        </w:rPr>
        <w:t>с</w:t>
      </w:r>
      <w:r>
        <w:rPr>
          <w:szCs w:val="26"/>
        </w:rPr>
        <w:t>ловия труда).</w:t>
      </w:r>
    </w:p>
    <w:p w:rsidR="004813D2" w:rsidRDefault="004813D2">
      <w:pPr>
        <w:rPr>
          <w:szCs w:val="26"/>
        </w:rPr>
      </w:pPr>
      <w:r>
        <w:rPr>
          <w:szCs w:val="26"/>
        </w:rPr>
        <w:t>С 18 лет по 45 лет активно занимался спортом – футбол, альпинизм.</w:t>
      </w:r>
    </w:p>
    <w:p w:rsidR="004813D2" w:rsidRDefault="004813D2">
      <w:pPr>
        <w:rPr>
          <w:szCs w:val="26"/>
        </w:rPr>
      </w:pPr>
      <w:r>
        <w:rPr>
          <w:szCs w:val="26"/>
        </w:rPr>
        <w:t>Какими детскими инфекциями болел, пациент не помнит. Травм, операций не б</w:t>
      </w:r>
      <w:r>
        <w:rPr>
          <w:szCs w:val="26"/>
        </w:rPr>
        <w:t>ы</w:t>
      </w:r>
      <w:r>
        <w:rPr>
          <w:szCs w:val="26"/>
        </w:rPr>
        <w:t>ло. В 80 году впервые не профосмотре обнаружено повышение артериального давл</w:t>
      </w:r>
      <w:r>
        <w:rPr>
          <w:szCs w:val="26"/>
        </w:rPr>
        <w:t>е</w:t>
      </w:r>
      <w:r>
        <w:rPr>
          <w:szCs w:val="26"/>
        </w:rPr>
        <w:t>ния до цифр 160/80, при этом жалоб у пациента не было. По поводу повышенного давления к врачу пациент не обращался, жалоб не возник</w:t>
      </w:r>
      <w:r>
        <w:rPr>
          <w:szCs w:val="26"/>
        </w:rPr>
        <w:t>а</w:t>
      </w:r>
      <w:r>
        <w:rPr>
          <w:szCs w:val="26"/>
        </w:rPr>
        <w:t>ло. Только в середине 90-х годов стал замечать появление головной боли и шума в ушах. При этом арт</w:t>
      </w:r>
      <w:r>
        <w:rPr>
          <w:szCs w:val="26"/>
        </w:rPr>
        <w:t>е</w:t>
      </w:r>
      <w:r>
        <w:rPr>
          <w:szCs w:val="26"/>
        </w:rPr>
        <w:t>риальное давление не измерял. В 1998 году при измерении артериального давл</w:t>
      </w:r>
      <w:r>
        <w:rPr>
          <w:szCs w:val="26"/>
        </w:rPr>
        <w:t>е</w:t>
      </w:r>
      <w:r>
        <w:rPr>
          <w:szCs w:val="26"/>
        </w:rPr>
        <w:t xml:space="preserve">ния АД=180/90 </w:t>
      </w:r>
      <w:r>
        <w:rPr>
          <w:szCs w:val="26"/>
          <w:lang w:val="en-US"/>
        </w:rPr>
        <w:t>mm</w:t>
      </w:r>
      <w:r>
        <w:rPr>
          <w:szCs w:val="26"/>
        </w:rPr>
        <w:t xml:space="preserve"> </w:t>
      </w:r>
      <w:r>
        <w:rPr>
          <w:szCs w:val="26"/>
          <w:lang w:val="en-US"/>
        </w:rPr>
        <w:t>Hg</w:t>
      </w:r>
      <w:r>
        <w:rPr>
          <w:szCs w:val="26"/>
        </w:rPr>
        <w:t>. Все эти года головные боли и шум в ушах сохранялись, носили не выраже</w:t>
      </w:r>
      <w:r>
        <w:rPr>
          <w:szCs w:val="26"/>
        </w:rPr>
        <w:t>н</w:t>
      </w:r>
      <w:r>
        <w:rPr>
          <w:szCs w:val="26"/>
        </w:rPr>
        <w:t>ный характер. По поводу повышенного давления к врачу пациент не обращался, г</w:t>
      </w:r>
      <w:r>
        <w:rPr>
          <w:szCs w:val="26"/>
        </w:rPr>
        <w:t>и</w:t>
      </w:r>
      <w:r>
        <w:rPr>
          <w:szCs w:val="26"/>
        </w:rPr>
        <w:t>потензивные препараты не пр</w:t>
      </w:r>
      <w:r>
        <w:rPr>
          <w:szCs w:val="26"/>
        </w:rPr>
        <w:t>и</w:t>
      </w:r>
      <w:r>
        <w:rPr>
          <w:szCs w:val="26"/>
        </w:rPr>
        <w:t>менял.</w:t>
      </w:r>
    </w:p>
    <w:p w:rsidR="004813D2" w:rsidRDefault="004813D2">
      <w:pPr>
        <w:rPr>
          <w:szCs w:val="26"/>
        </w:rPr>
      </w:pPr>
      <w:r>
        <w:rPr>
          <w:szCs w:val="26"/>
        </w:rPr>
        <w:t>Социально-бытовые условия удовлетворительные. Правила личной гигиены с</w:t>
      </w:r>
      <w:r>
        <w:rPr>
          <w:szCs w:val="26"/>
        </w:rPr>
        <w:t>о</w:t>
      </w:r>
      <w:r>
        <w:rPr>
          <w:szCs w:val="26"/>
        </w:rPr>
        <w:t>блюдает. Проживает в 2 комнатной квартире с женой. Имеет 2 детей – сын и дочь, оба здоровы. Пит</w:t>
      </w:r>
      <w:r>
        <w:rPr>
          <w:szCs w:val="26"/>
        </w:rPr>
        <w:t>а</w:t>
      </w:r>
      <w:r>
        <w:rPr>
          <w:szCs w:val="26"/>
        </w:rPr>
        <w:t>ние регулярное - 3 раза в день, полноценное.</w:t>
      </w:r>
    </w:p>
    <w:p w:rsidR="004813D2" w:rsidRDefault="004813D2">
      <w:pPr>
        <w:ind w:left="284"/>
        <w:rPr>
          <w:szCs w:val="26"/>
        </w:rPr>
      </w:pPr>
    </w:p>
    <w:p w:rsidR="004813D2" w:rsidRDefault="004813D2">
      <w:pPr>
        <w:jc w:val="center"/>
        <w:rPr>
          <w:b/>
          <w:szCs w:val="26"/>
        </w:rPr>
      </w:pPr>
      <w:r>
        <w:rPr>
          <w:b/>
          <w:szCs w:val="26"/>
        </w:rPr>
        <w:t>Семейный анамнез и наследственные заболевания.</w:t>
      </w:r>
    </w:p>
    <w:p w:rsidR="004813D2" w:rsidRDefault="004813D2">
      <w:pPr>
        <w:rPr>
          <w:szCs w:val="26"/>
        </w:rPr>
      </w:pPr>
      <w:r>
        <w:rPr>
          <w:szCs w:val="26"/>
        </w:rPr>
        <w:t>Мать страдала от гипертонической болезни. Отец умер в  63 года.  Туберкулез, г</w:t>
      </w:r>
      <w:r>
        <w:rPr>
          <w:szCs w:val="26"/>
        </w:rPr>
        <w:t>е</w:t>
      </w:r>
      <w:r>
        <w:rPr>
          <w:szCs w:val="26"/>
        </w:rPr>
        <w:t>патит и другие острые инфекции отрицает. О каких-либо других заболеваниях в с</w:t>
      </w:r>
      <w:r>
        <w:rPr>
          <w:szCs w:val="26"/>
        </w:rPr>
        <w:t>е</w:t>
      </w:r>
      <w:r>
        <w:rPr>
          <w:szCs w:val="26"/>
        </w:rPr>
        <w:t>мье пациент не помнит. Данных о возможности влияний других семейных и</w:t>
      </w:r>
      <w:r>
        <w:rPr>
          <w:szCs w:val="26"/>
        </w:rPr>
        <w:t>н</w:t>
      </w:r>
      <w:r>
        <w:rPr>
          <w:szCs w:val="26"/>
        </w:rPr>
        <w:t xml:space="preserve">фекций на пациента (сифилис, туберкулез, нервно-психические заболевания, болезни обмена веществ, рак) нет. </w:t>
      </w:r>
    </w:p>
    <w:p w:rsidR="004813D2" w:rsidRDefault="004813D2">
      <w:pPr>
        <w:rPr>
          <w:szCs w:val="26"/>
        </w:rPr>
      </w:pPr>
      <w:r>
        <w:rPr>
          <w:szCs w:val="26"/>
        </w:rPr>
        <w:t>Аллергические реакции в виде приступов  удушья, отёков отрицает. Неперенос</w:t>
      </w:r>
      <w:r>
        <w:rPr>
          <w:szCs w:val="26"/>
        </w:rPr>
        <w:t>и</w:t>
      </w:r>
      <w:r>
        <w:rPr>
          <w:szCs w:val="26"/>
        </w:rPr>
        <w:t>мость лека</w:t>
      </w:r>
      <w:r>
        <w:rPr>
          <w:szCs w:val="26"/>
        </w:rPr>
        <w:t>р</w:t>
      </w:r>
      <w:r>
        <w:rPr>
          <w:szCs w:val="26"/>
        </w:rPr>
        <w:t>ственных препаратов отрицает.</w:t>
      </w:r>
    </w:p>
    <w:p w:rsidR="004813D2" w:rsidRDefault="004813D2">
      <w:pPr>
        <w:rPr>
          <w:szCs w:val="26"/>
        </w:rPr>
      </w:pPr>
    </w:p>
    <w:p w:rsidR="004813D2" w:rsidRDefault="004813D2">
      <w:pPr>
        <w:ind w:firstLine="0"/>
        <w:jc w:val="center"/>
        <w:rPr>
          <w:szCs w:val="26"/>
        </w:rPr>
      </w:pPr>
      <w:r>
        <w:rPr>
          <w:b/>
          <w:szCs w:val="26"/>
        </w:rPr>
        <w:t>Профессиональный анамнез</w:t>
      </w:r>
      <w:r>
        <w:rPr>
          <w:szCs w:val="26"/>
        </w:rPr>
        <w:t>.</w:t>
      </w:r>
    </w:p>
    <w:p w:rsidR="004813D2" w:rsidRDefault="004813D2">
      <w:pPr>
        <w:rPr>
          <w:szCs w:val="26"/>
        </w:rPr>
      </w:pPr>
      <w:r>
        <w:rPr>
          <w:szCs w:val="26"/>
        </w:rPr>
        <w:t>С 1964 года работал на Заводе синтетического каучука (Беларусь). Занимал ра</w:t>
      </w:r>
      <w:r>
        <w:rPr>
          <w:szCs w:val="26"/>
        </w:rPr>
        <w:t>з</w:t>
      </w:r>
      <w:r>
        <w:rPr>
          <w:szCs w:val="26"/>
        </w:rPr>
        <w:t>личные должности: от простого рабочего в цехе, до начальника цеха. Контакта с свинцом не имел. В производстве контактировал в основном с производными ф</w:t>
      </w:r>
      <w:r>
        <w:rPr>
          <w:szCs w:val="26"/>
        </w:rPr>
        <w:t>е</w:t>
      </w:r>
      <w:r>
        <w:rPr>
          <w:szCs w:val="26"/>
        </w:rPr>
        <w:t>нола, ртутью. Острых и хронических отравлений на производстве не было.</w:t>
      </w:r>
    </w:p>
    <w:p w:rsidR="004813D2" w:rsidRDefault="004813D2">
      <w:pPr>
        <w:rPr>
          <w:szCs w:val="26"/>
        </w:rPr>
      </w:pPr>
    </w:p>
    <w:p w:rsidR="004813D2" w:rsidRDefault="004813D2">
      <w:pPr>
        <w:ind w:firstLine="0"/>
        <w:jc w:val="center"/>
        <w:rPr>
          <w:b/>
          <w:i/>
          <w:szCs w:val="26"/>
        </w:rPr>
      </w:pPr>
      <w:bookmarkStart w:id="1" w:name="_Toc508987184"/>
      <w:r>
        <w:rPr>
          <w:b/>
          <w:szCs w:val="26"/>
        </w:rPr>
        <w:t>Вредные привычки.</w:t>
      </w:r>
    </w:p>
    <w:p w:rsidR="004813D2" w:rsidRDefault="004813D2">
      <w:pPr>
        <w:rPr>
          <w:szCs w:val="26"/>
        </w:rPr>
      </w:pPr>
      <w:r>
        <w:rPr>
          <w:szCs w:val="26"/>
        </w:rPr>
        <w:t>Пациент не курит, не злоупотребляет алкоголем, пивом, кофе и крепким чаем. Наркоманией не страд</w:t>
      </w:r>
      <w:r>
        <w:rPr>
          <w:szCs w:val="26"/>
        </w:rPr>
        <w:t>а</w:t>
      </w:r>
      <w:r>
        <w:rPr>
          <w:szCs w:val="26"/>
        </w:rPr>
        <w:t xml:space="preserve">ет. </w:t>
      </w:r>
    </w:p>
    <w:p w:rsidR="004813D2" w:rsidRDefault="004813D2">
      <w:pPr>
        <w:rPr>
          <w:szCs w:val="26"/>
        </w:rPr>
      </w:pPr>
      <w:r>
        <w:rPr>
          <w:szCs w:val="26"/>
        </w:rPr>
        <w:br w:type="page"/>
      </w:r>
    </w:p>
    <w:p w:rsidR="004813D2" w:rsidRDefault="004813D2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Данные объективного обследования</w:t>
      </w:r>
      <w:bookmarkEnd w:id="1"/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bCs/>
          <w:i/>
          <w:iCs/>
          <w:szCs w:val="26"/>
        </w:rPr>
        <w:t>Общий осмотр:</w:t>
      </w:r>
      <w:r>
        <w:rPr>
          <w:szCs w:val="26"/>
        </w:rPr>
        <w:t xml:space="preserve"> состояние удовлетворительное, сознание ясное, положение акти</w:t>
      </w:r>
      <w:r>
        <w:rPr>
          <w:szCs w:val="26"/>
        </w:rPr>
        <w:t>в</w:t>
      </w:r>
      <w:r>
        <w:rPr>
          <w:szCs w:val="26"/>
        </w:rPr>
        <w:t>ное. Выражение лица и глаз доброжелательное. t-36,8 С, пульс 65, частота д</w:t>
      </w:r>
      <w:r>
        <w:rPr>
          <w:szCs w:val="26"/>
        </w:rPr>
        <w:t>ы</w:t>
      </w:r>
      <w:r>
        <w:rPr>
          <w:szCs w:val="26"/>
        </w:rPr>
        <w:t>хания 18, А/Д - 160/90 мм Hg. Рост 179 см, телосложение нормостеничное, вес 95 кг, индекс массы тела 29,2 .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i/>
          <w:iCs/>
          <w:szCs w:val="26"/>
        </w:rPr>
        <w:t xml:space="preserve">Кожа, волосы, ногти, слизистые оболочки: </w:t>
      </w:r>
      <w:r>
        <w:rPr>
          <w:szCs w:val="26"/>
        </w:rPr>
        <w:t>Кожа – обычной окраски, гладкая, эластичная, тургор сохранен, умеренно влажная.  Видимые слизистые – конъюнктивы глаз, слизистая наружного носа, ротовой полости розовые, умеренно влажные, без рубцов.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  Волосы: темные, не секутся. Волосяной покров головы распределен равн</w:t>
      </w:r>
      <w:r>
        <w:rPr>
          <w:szCs w:val="26"/>
        </w:rPr>
        <w:t>о</w:t>
      </w:r>
      <w:r>
        <w:rPr>
          <w:szCs w:val="26"/>
        </w:rPr>
        <w:t>мерно, участки облысения отсутствуют.  Ногти: несколько синюшны, гладкие, не ломкие, край ровный, умеренно закруглен. Барабанных палочки и часовые стеклышки не в</w:t>
      </w:r>
      <w:r>
        <w:rPr>
          <w:szCs w:val="26"/>
        </w:rPr>
        <w:t>ы</w:t>
      </w:r>
      <w:r>
        <w:rPr>
          <w:szCs w:val="26"/>
        </w:rPr>
        <w:t>явлены.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bCs/>
          <w:i/>
          <w:iCs/>
          <w:szCs w:val="26"/>
        </w:rPr>
        <w:t>Ротовая полость</w:t>
      </w:r>
      <w:r>
        <w:rPr>
          <w:szCs w:val="26"/>
        </w:rPr>
        <w:t>: Миндалины не увеличены, розового цвета, без налета, не вых</w:t>
      </w:r>
      <w:r>
        <w:rPr>
          <w:szCs w:val="26"/>
        </w:rPr>
        <w:t>о</w:t>
      </w:r>
      <w:r>
        <w:rPr>
          <w:szCs w:val="26"/>
        </w:rPr>
        <w:t xml:space="preserve">дят из-за небных дужек. Десны не разрыхлены. Слизистая глотки розовая, влажная, не отечна. 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bCs/>
          <w:i/>
          <w:iCs/>
          <w:szCs w:val="26"/>
        </w:rPr>
        <w:t>Лимфатические узлы</w:t>
      </w:r>
      <w:r>
        <w:rPr>
          <w:szCs w:val="26"/>
        </w:rPr>
        <w:t>: нижнечелюстные, шейные, надключичные, подкл</w:t>
      </w:r>
      <w:r>
        <w:rPr>
          <w:szCs w:val="26"/>
        </w:rPr>
        <w:t>ю</w:t>
      </w:r>
      <w:r>
        <w:rPr>
          <w:szCs w:val="26"/>
        </w:rPr>
        <w:t>чичные, подмышечные, паховые, подколенные лимфатические узлы не видны и не пальпир</w:t>
      </w:r>
      <w:r>
        <w:rPr>
          <w:szCs w:val="26"/>
        </w:rPr>
        <w:t>у</w:t>
      </w:r>
      <w:r>
        <w:rPr>
          <w:szCs w:val="26"/>
        </w:rPr>
        <w:t>ются.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bCs/>
          <w:i/>
          <w:iCs/>
          <w:szCs w:val="26"/>
        </w:rPr>
        <w:t>Опорно-двигательный аппарат</w:t>
      </w:r>
      <w:r>
        <w:rPr>
          <w:szCs w:val="26"/>
        </w:rPr>
        <w:t>: мышцы развиты удовлетворительно, симметри</w:t>
      </w:r>
      <w:r>
        <w:rPr>
          <w:szCs w:val="26"/>
        </w:rPr>
        <w:t>ч</w:t>
      </w:r>
      <w:r>
        <w:rPr>
          <w:szCs w:val="26"/>
        </w:rPr>
        <w:t xml:space="preserve">но, тонус нормальный, безболезненны.  </w:t>
      </w:r>
    </w:p>
    <w:p w:rsidR="004813D2" w:rsidRDefault="004813D2">
      <w:pPr>
        <w:rPr>
          <w:szCs w:val="26"/>
        </w:rPr>
      </w:pPr>
      <w:r>
        <w:rPr>
          <w:szCs w:val="26"/>
        </w:rPr>
        <w:t>Плюснефаланговые суставы стоп справа и слева –  имеется локальное повышение температуры, отечность суставов, их дефигурирование, ограничение движения, б</w:t>
      </w:r>
      <w:r>
        <w:rPr>
          <w:szCs w:val="26"/>
        </w:rPr>
        <w:t>о</w:t>
      </w:r>
      <w:r>
        <w:rPr>
          <w:szCs w:val="26"/>
        </w:rPr>
        <w:t>лезненность при пальпации. Стопы отечны, больше справа. Голеностопные суставы дефигурированы, безболезненны, имеется локальное повышение температуры. Дв</w:t>
      </w:r>
      <w:r>
        <w:rPr>
          <w:szCs w:val="26"/>
        </w:rPr>
        <w:t>и</w:t>
      </w:r>
      <w:r>
        <w:rPr>
          <w:szCs w:val="26"/>
        </w:rPr>
        <w:t xml:space="preserve">жение в полном объеме. </w:t>
      </w:r>
    </w:p>
    <w:p w:rsidR="004813D2" w:rsidRDefault="004813D2">
      <w:pPr>
        <w:rPr>
          <w:szCs w:val="26"/>
        </w:rPr>
      </w:pPr>
      <w:r>
        <w:rPr>
          <w:szCs w:val="26"/>
        </w:rPr>
        <w:t>Левый коленный сустав немного дефигурирован, симптом баллотирования надк</w:t>
      </w:r>
      <w:r>
        <w:rPr>
          <w:szCs w:val="26"/>
        </w:rPr>
        <w:t>о</w:t>
      </w:r>
      <w:r>
        <w:rPr>
          <w:szCs w:val="26"/>
        </w:rPr>
        <w:t>ленника отрицательный, температ</w:t>
      </w:r>
      <w:r>
        <w:rPr>
          <w:szCs w:val="26"/>
        </w:rPr>
        <w:t>у</w:t>
      </w:r>
      <w:r>
        <w:rPr>
          <w:szCs w:val="26"/>
        </w:rPr>
        <w:t>ра не повышена. Движение в полном объеме.</w:t>
      </w:r>
    </w:p>
    <w:p w:rsidR="004813D2" w:rsidRDefault="004813D2">
      <w:pPr>
        <w:rPr>
          <w:szCs w:val="26"/>
        </w:rPr>
      </w:pPr>
      <w:r>
        <w:rPr>
          <w:szCs w:val="26"/>
        </w:rPr>
        <w:t>Другие суставы не изменены, движения в них в полных объемах.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bCs/>
          <w:i/>
          <w:iCs/>
          <w:szCs w:val="26"/>
        </w:rPr>
        <w:t>Органы дыхания</w:t>
      </w:r>
      <w:r>
        <w:rPr>
          <w:szCs w:val="26"/>
        </w:rPr>
        <w:t>: форма грудной клетки гиперстеничная, стенки эластичные, обе половины грудной клетки равномерно участвуют в акте дыхания, симметричная, эп</w:t>
      </w:r>
      <w:r>
        <w:rPr>
          <w:szCs w:val="26"/>
        </w:rPr>
        <w:t>и</w:t>
      </w:r>
      <w:r>
        <w:rPr>
          <w:szCs w:val="26"/>
        </w:rPr>
        <w:t xml:space="preserve">гастральный угол </w:t>
      </w:r>
      <w:r>
        <w:rPr>
          <w:szCs w:val="26"/>
        </w:rPr>
        <w:sym w:font="Symbol" w:char="F0BB"/>
      </w:r>
      <w:r>
        <w:rPr>
          <w:szCs w:val="26"/>
        </w:rPr>
        <w:t xml:space="preserve"> 90. В дыхательном акте вспомогательные мы</w:t>
      </w:r>
      <w:r>
        <w:rPr>
          <w:szCs w:val="26"/>
        </w:rPr>
        <w:t>ш</w:t>
      </w:r>
      <w:r>
        <w:rPr>
          <w:szCs w:val="26"/>
        </w:rPr>
        <w:t>цы не участвуют. Межреберные промежутки не расширены. Тип дыхания брюшной. ЧД - 16 в мин. Д</w:t>
      </w:r>
      <w:r>
        <w:rPr>
          <w:szCs w:val="26"/>
        </w:rPr>
        <w:t>ы</w:t>
      </w:r>
      <w:r>
        <w:rPr>
          <w:szCs w:val="26"/>
        </w:rPr>
        <w:t xml:space="preserve">хание спокойное, ритмичное, глубокое. </w:t>
      </w:r>
    </w:p>
    <w:p w:rsidR="004813D2" w:rsidRDefault="004813D2">
      <w:pPr>
        <w:rPr>
          <w:szCs w:val="26"/>
        </w:rPr>
      </w:pPr>
      <w:r>
        <w:rPr>
          <w:szCs w:val="26"/>
        </w:rPr>
        <w:t>Голосовое дрожание  проводится одинаково на симметричных участках легких. Гамма звучности сохранена. При пальпации грудная клетка эластична, безб</w:t>
      </w:r>
      <w:r>
        <w:rPr>
          <w:szCs w:val="26"/>
        </w:rPr>
        <w:t>о</w:t>
      </w:r>
      <w:r>
        <w:rPr>
          <w:szCs w:val="26"/>
        </w:rPr>
        <w:t>лезненна. Перкуторный звук легочный, одинаковый на симметричными участками легких. Над легочными полями выслушивается везикулярное дых</w:t>
      </w:r>
      <w:r>
        <w:rPr>
          <w:szCs w:val="26"/>
        </w:rPr>
        <w:t>а</w:t>
      </w:r>
      <w:r>
        <w:rPr>
          <w:szCs w:val="26"/>
        </w:rPr>
        <w:t xml:space="preserve">ние. Побочные дыхательные шумы не выслушиваются. </w:t>
      </w:r>
    </w:p>
    <w:p w:rsidR="004813D2" w:rsidRDefault="004813D2">
      <w:pPr>
        <w:rPr>
          <w:szCs w:val="26"/>
        </w:rPr>
      </w:pPr>
      <w:r>
        <w:rPr>
          <w:szCs w:val="26"/>
        </w:rPr>
        <w:t>Окружность грудной клетки: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     -при спокойном дыхании: 98 см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     -на максимальном вдохе: 110 см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     -на максимальном выдохе: 90 см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Органы кровообращения</w:t>
      </w:r>
    </w:p>
    <w:p w:rsidR="004813D2" w:rsidRDefault="004813D2">
      <w:pPr>
        <w:rPr>
          <w:szCs w:val="26"/>
        </w:rPr>
      </w:pPr>
      <w:r>
        <w:rPr>
          <w:szCs w:val="26"/>
        </w:rPr>
        <w:t>При осмотре область сердца без видимых изменений, сердечный горб отсу</w:t>
      </w:r>
      <w:r>
        <w:rPr>
          <w:szCs w:val="26"/>
        </w:rPr>
        <w:t>т</w:t>
      </w:r>
      <w:r>
        <w:rPr>
          <w:szCs w:val="26"/>
        </w:rPr>
        <w:t>ствует, верхушечный толчок визуально не определяется,  надчревная пульсация отсу</w:t>
      </w:r>
      <w:r>
        <w:rPr>
          <w:szCs w:val="26"/>
        </w:rPr>
        <w:t>т</w:t>
      </w:r>
      <w:r>
        <w:rPr>
          <w:szCs w:val="26"/>
        </w:rPr>
        <w:t>ствует.</w:t>
      </w:r>
    </w:p>
    <w:p w:rsidR="004813D2" w:rsidRDefault="004813D2">
      <w:pPr>
        <w:rPr>
          <w:szCs w:val="26"/>
        </w:rPr>
      </w:pPr>
      <w:r>
        <w:rPr>
          <w:szCs w:val="26"/>
        </w:rPr>
        <w:t>При пальпации определяется верхушечный толчок локализованный  на ра</w:t>
      </w:r>
      <w:r>
        <w:rPr>
          <w:szCs w:val="26"/>
        </w:rPr>
        <w:t>с</w:t>
      </w:r>
      <w:r>
        <w:rPr>
          <w:szCs w:val="26"/>
        </w:rPr>
        <w:t>стоянии 1,5 см кнаружи к среднеключичной линии по 5 межреберье, разлитой, диаме</w:t>
      </w:r>
      <w:r>
        <w:rPr>
          <w:szCs w:val="26"/>
        </w:rPr>
        <w:t>т</w:t>
      </w:r>
      <w:r>
        <w:rPr>
          <w:szCs w:val="26"/>
        </w:rPr>
        <w:t>ром 2 см</w:t>
      </w:r>
      <w:r>
        <w:rPr>
          <w:szCs w:val="26"/>
        </w:rPr>
        <w:softHyphen/>
      </w:r>
      <w:r>
        <w:rPr>
          <w:szCs w:val="26"/>
        </w:rPr>
        <w:softHyphen/>
        <w:t>, неусилен, низкий. Сердечный толчок не пальпируется. На основании сердца пул</w:t>
      </w:r>
      <w:r>
        <w:rPr>
          <w:szCs w:val="26"/>
        </w:rPr>
        <w:t>ь</w:t>
      </w:r>
      <w:r>
        <w:rPr>
          <w:szCs w:val="26"/>
        </w:rPr>
        <w:t xml:space="preserve">сация аорты и легочной вены не определяется.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5430"/>
      </w:tblGrid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Граница</w:t>
            </w:r>
          </w:p>
        </w:tc>
        <w:tc>
          <w:tcPr>
            <w:tcW w:w="5430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относительная тупость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правая</w:t>
            </w:r>
          </w:p>
        </w:tc>
        <w:tc>
          <w:tcPr>
            <w:tcW w:w="5430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1.5 см кнаружи от грудины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левая</w:t>
            </w:r>
          </w:p>
        </w:tc>
        <w:tc>
          <w:tcPr>
            <w:tcW w:w="5430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 см кнаружи от среднеключичной линии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верхняя</w:t>
            </w:r>
          </w:p>
        </w:tc>
        <w:tc>
          <w:tcPr>
            <w:tcW w:w="5430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 ребро по  среднеключичной линии</w:t>
            </w:r>
          </w:p>
        </w:tc>
      </w:tr>
    </w:tbl>
    <w:p w:rsidR="004813D2" w:rsidRDefault="004813D2">
      <w:pPr>
        <w:rPr>
          <w:szCs w:val="26"/>
        </w:rPr>
      </w:pPr>
      <w:r>
        <w:rPr>
          <w:szCs w:val="26"/>
        </w:rPr>
        <w:t>При аускультации сердца тоны ритмичные, приглушены, раздвоения  тонов нет. Имеется а</w:t>
      </w:r>
      <w:r>
        <w:rPr>
          <w:szCs w:val="26"/>
        </w:rPr>
        <w:t>к</w:t>
      </w:r>
      <w:r>
        <w:rPr>
          <w:szCs w:val="26"/>
        </w:rPr>
        <w:t>цент второго тона на аорте. Пульс на правой лучевой артерии 65 уд/мин. Артериальное давление: 160/90 mm Hg.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Органы пищеварения</w:t>
      </w:r>
    </w:p>
    <w:p w:rsidR="004813D2" w:rsidRDefault="004813D2">
      <w:pPr>
        <w:rPr>
          <w:szCs w:val="26"/>
        </w:rPr>
      </w:pPr>
      <w:r>
        <w:rPr>
          <w:szCs w:val="26"/>
        </w:rPr>
        <w:t>Живот округлой формы, выпячивает, симметричный.  Западений, видимой пульс</w:t>
      </w:r>
      <w:r>
        <w:rPr>
          <w:szCs w:val="26"/>
        </w:rPr>
        <w:t>а</w:t>
      </w:r>
      <w:r>
        <w:rPr>
          <w:szCs w:val="26"/>
        </w:rPr>
        <w:t>ции, перистальтики нет. Участвует в акте дыхания при глубоком дыхании. Кожа ж</w:t>
      </w:r>
      <w:r>
        <w:rPr>
          <w:szCs w:val="26"/>
        </w:rPr>
        <w:t>и</w:t>
      </w:r>
      <w:r>
        <w:rPr>
          <w:szCs w:val="26"/>
        </w:rPr>
        <w:t>вота чистая, рубцов нет. Свободная жидкость в брюшной полости не определяе</w:t>
      </w:r>
      <w:r>
        <w:rPr>
          <w:szCs w:val="26"/>
        </w:rPr>
        <w:t>т</w:t>
      </w:r>
      <w:r>
        <w:rPr>
          <w:szCs w:val="26"/>
        </w:rPr>
        <w:t>ся. При поверхностной пальпации живот не напряжен, безболе</w:t>
      </w:r>
      <w:r>
        <w:rPr>
          <w:szCs w:val="26"/>
        </w:rPr>
        <w:t>з</w:t>
      </w:r>
      <w:r>
        <w:rPr>
          <w:szCs w:val="26"/>
        </w:rPr>
        <w:t xml:space="preserve">нен. </w:t>
      </w:r>
    </w:p>
    <w:p w:rsidR="004813D2" w:rsidRDefault="004813D2">
      <w:pPr>
        <w:rPr>
          <w:szCs w:val="26"/>
        </w:rPr>
      </w:pPr>
      <w:r>
        <w:rPr>
          <w:szCs w:val="26"/>
        </w:rPr>
        <w:t>Сигмовидная кишка: пальпируется в типичном месте, безболезненна,  ди</w:t>
      </w:r>
      <w:r>
        <w:rPr>
          <w:szCs w:val="26"/>
        </w:rPr>
        <w:t>а</w:t>
      </w:r>
      <w:r>
        <w:rPr>
          <w:szCs w:val="26"/>
        </w:rPr>
        <w:t>метром 2 см, гладкая, эластичная, плотная, не подвижная, не урчит. Слепая кишка:  пальпир</w:t>
      </w:r>
      <w:r>
        <w:rPr>
          <w:szCs w:val="26"/>
        </w:rPr>
        <w:t>у</w:t>
      </w:r>
      <w:r>
        <w:rPr>
          <w:szCs w:val="26"/>
        </w:rPr>
        <w:t>ется в типичном месте безболезненна, диаметром 3 см, гладкая, эл</w:t>
      </w:r>
      <w:r>
        <w:rPr>
          <w:szCs w:val="26"/>
        </w:rPr>
        <w:t>а</w:t>
      </w:r>
      <w:r>
        <w:rPr>
          <w:szCs w:val="26"/>
        </w:rPr>
        <w:t>стичная, плотная, не подвижная, не урчит.</w:t>
      </w:r>
    </w:p>
    <w:p w:rsidR="004813D2" w:rsidRDefault="004813D2">
      <w:pPr>
        <w:rPr>
          <w:szCs w:val="26"/>
        </w:rPr>
      </w:pPr>
      <w:r>
        <w:rPr>
          <w:szCs w:val="26"/>
        </w:rPr>
        <w:t>Восходящая: пальпируется в типичном месте, безболезненна, диаметром 3 см, гладкая, плотная, эластичная, не подвижная, не урчит. Нисходящая и ободочная ки</w:t>
      </w:r>
      <w:r>
        <w:rPr>
          <w:szCs w:val="26"/>
        </w:rPr>
        <w:t>ш</w:t>
      </w:r>
      <w:r>
        <w:rPr>
          <w:szCs w:val="26"/>
        </w:rPr>
        <w:t>ки: не пальпируются.</w:t>
      </w:r>
    </w:p>
    <w:p w:rsidR="004813D2" w:rsidRDefault="004813D2">
      <w:pPr>
        <w:rPr>
          <w:szCs w:val="26"/>
        </w:rPr>
      </w:pPr>
      <w:r>
        <w:rPr>
          <w:szCs w:val="26"/>
        </w:rPr>
        <w:t>Желудок: большая кривизна желудка не пальпируется, перкуторно нижняя граница определяется 3 см выше пупка. При проведении аускультоафрикции ни</w:t>
      </w:r>
      <w:r>
        <w:rPr>
          <w:szCs w:val="26"/>
        </w:rPr>
        <w:t>ж</w:t>
      </w:r>
      <w:r>
        <w:rPr>
          <w:szCs w:val="26"/>
        </w:rPr>
        <w:t xml:space="preserve">няя граница желудка на 4,5 см выше пупка. Шум плеска не определяется.  Выбухания в правом межреберье и эпигастральной области нет. </w:t>
      </w:r>
    </w:p>
    <w:p w:rsidR="004813D2" w:rsidRDefault="004813D2">
      <w:pPr>
        <w:rPr>
          <w:szCs w:val="26"/>
        </w:rPr>
      </w:pPr>
      <w:r>
        <w:rPr>
          <w:szCs w:val="26"/>
        </w:rPr>
        <w:t>Перкуторно верхняя граница печени 5 ребро по срединно-грудинной линии; ни</w:t>
      </w:r>
      <w:r>
        <w:rPr>
          <w:szCs w:val="26"/>
        </w:rPr>
        <w:t>ж</w:t>
      </w:r>
      <w:r>
        <w:rPr>
          <w:szCs w:val="26"/>
        </w:rPr>
        <w:t>няя граница печени не выходит за край реберной дуги, левая граница печени находи</w:t>
      </w:r>
      <w:r>
        <w:rPr>
          <w:szCs w:val="26"/>
        </w:rPr>
        <w:t>т</w:t>
      </w:r>
      <w:r>
        <w:rPr>
          <w:szCs w:val="26"/>
        </w:rPr>
        <w:t>ся кнутри от левой парастернал</w:t>
      </w:r>
      <w:r>
        <w:rPr>
          <w:szCs w:val="26"/>
        </w:rPr>
        <w:t>ь</w:t>
      </w:r>
      <w:r>
        <w:rPr>
          <w:szCs w:val="26"/>
        </w:rPr>
        <w:t>ной линии.</w:t>
      </w:r>
    </w:p>
    <w:p w:rsidR="004813D2" w:rsidRDefault="004813D2">
      <w:pPr>
        <w:rPr>
          <w:szCs w:val="26"/>
        </w:rPr>
      </w:pPr>
      <w:r>
        <w:rPr>
          <w:szCs w:val="26"/>
        </w:rPr>
        <w:t>Границы печени по Курлову:  по среднеключичной линии 13 см; по передней ср</w:t>
      </w:r>
      <w:r>
        <w:rPr>
          <w:szCs w:val="26"/>
        </w:rPr>
        <w:t>е</w:t>
      </w:r>
      <w:r>
        <w:rPr>
          <w:szCs w:val="26"/>
        </w:rPr>
        <w:t>динной 8 см;  по левой р</w:t>
      </w:r>
      <w:r>
        <w:rPr>
          <w:szCs w:val="26"/>
        </w:rPr>
        <w:t>е</w:t>
      </w:r>
      <w:r>
        <w:rPr>
          <w:szCs w:val="26"/>
        </w:rPr>
        <w:t>берной дуге 9 см. При пальпации нижний край печени не выходит за край реберной дуги, край округлый,  эластичный, ровный, безболезне</w:t>
      </w:r>
      <w:r>
        <w:rPr>
          <w:szCs w:val="26"/>
        </w:rPr>
        <w:t>н</w:t>
      </w:r>
      <w:r>
        <w:rPr>
          <w:szCs w:val="26"/>
        </w:rPr>
        <w:t>ный. Селезенка не пальпируется. Почки  не пальпируются. Пузырные пробы отриц</w:t>
      </w:r>
      <w:r>
        <w:rPr>
          <w:szCs w:val="26"/>
        </w:rPr>
        <w:t>а</w:t>
      </w:r>
      <w:r>
        <w:rPr>
          <w:szCs w:val="26"/>
        </w:rPr>
        <w:t>тельные. Симптом поколачивания, о</w:t>
      </w:r>
      <w:r>
        <w:rPr>
          <w:szCs w:val="26"/>
        </w:rPr>
        <w:t>т</w:t>
      </w:r>
      <w:r>
        <w:rPr>
          <w:szCs w:val="26"/>
        </w:rPr>
        <w:t xml:space="preserve">рицательный. </w:t>
      </w:r>
    </w:p>
    <w:p w:rsidR="004813D2" w:rsidRDefault="004813D2">
      <w:pPr>
        <w:rPr>
          <w:szCs w:val="26"/>
        </w:rPr>
      </w:pPr>
    </w:p>
    <w:p w:rsidR="004813D2" w:rsidRDefault="004813D2">
      <w:pPr>
        <w:pStyle w:val="1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2" w:name="_Toc508987186"/>
      <w:r>
        <w:rPr>
          <w:sz w:val="26"/>
          <w:szCs w:val="26"/>
        </w:rPr>
        <w:t>Лабораторные и инструментальные методы исследов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</w:t>
      </w:r>
      <w:bookmarkEnd w:id="2"/>
    </w:p>
    <w:p w:rsidR="004813D2" w:rsidRDefault="004813D2">
      <w:pPr>
        <w:rPr>
          <w:sz w:val="20"/>
          <w:szCs w:val="20"/>
        </w:rPr>
      </w:pPr>
    </w:p>
    <w:p w:rsidR="004813D2" w:rsidRDefault="004813D2">
      <w:pPr>
        <w:rPr>
          <w:szCs w:val="26"/>
        </w:rPr>
      </w:pPr>
      <w:r>
        <w:rPr>
          <w:szCs w:val="26"/>
        </w:rPr>
        <w:t>План обследования: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ОАК(+формула)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ОАМ(+мочевая кислота)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БАК (+мочевина, мочевая кислота, АсАТ, АлАТ, креатинин, фибриноген общ., си</w:t>
      </w:r>
      <w:r>
        <w:rPr>
          <w:szCs w:val="26"/>
        </w:rPr>
        <w:t>а</w:t>
      </w:r>
      <w:r>
        <w:rPr>
          <w:szCs w:val="26"/>
        </w:rPr>
        <w:t>ловые кислоты)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Рентген </w:t>
      </w:r>
      <w:r>
        <w:rPr>
          <w:szCs w:val="26"/>
          <w:lang w:val="en-US"/>
        </w:rPr>
        <w:t>I</w:t>
      </w:r>
      <w:r>
        <w:rPr>
          <w:szCs w:val="26"/>
        </w:rPr>
        <w:t xml:space="preserve"> плюснофаланговых суставов  обеих стоп.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Пункция </w:t>
      </w:r>
      <w:r>
        <w:rPr>
          <w:szCs w:val="26"/>
          <w:lang w:val="en-US"/>
        </w:rPr>
        <w:t>I</w:t>
      </w:r>
      <w:r>
        <w:rPr>
          <w:szCs w:val="26"/>
        </w:rPr>
        <w:t xml:space="preserve"> плюснофаланговых суставов  обеих стоп.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УЗИ почек, органов брюшной полости.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ЭхКГ, ЭКГ</w:t>
      </w:r>
    </w:p>
    <w:p w:rsidR="004813D2" w:rsidRDefault="004813D2" w:rsidP="00FA34EF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Консультация окулиста </w:t>
      </w: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tbl>
      <w:tblPr>
        <w:tblW w:w="7348" w:type="dxa"/>
        <w:jc w:val="center"/>
        <w:tblLayout w:type="fixed"/>
        <w:tblLook w:val="0000" w:firstRow="0" w:lastRow="0" w:firstColumn="0" w:lastColumn="0" w:noHBand="0" w:noVBand="0"/>
      </w:tblPr>
      <w:tblGrid>
        <w:gridCol w:w="3728"/>
        <w:gridCol w:w="1810"/>
        <w:gridCol w:w="1810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  <w:u w:val="single"/>
              </w:rPr>
              <w:t>Общий анализ крови</w:t>
            </w:r>
            <w:r>
              <w:rPr>
                <w:szCs w:val="26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Hb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145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ЦП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039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Эритроциты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4,96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4,57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Лейкоциты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5,2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Тромбоциты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305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СОЭ мм/час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Лейкоцитарная формула: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Палочкоядерные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Сегментоядерные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81 %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67%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Эозинофилы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1%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Моноциты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Лимфоциты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17 %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3%</w:t>
            </w:r>
          </w:p>
        </w:tc>
      </w:tr>
    </w:tbl>
    <w:p w:rsidR="004813D2" w:rsidRDefault="004813D2">
      <w:pPr>
        <w:jc w:val="center"/>
        <w:rPr>
          <w:i/>
          <w:szCs w:val="26"/>
        </w:rPr>
      </w:pPr>
      <w:r>
        <w:rPr>
          <w:i/>
          <w:szCs w:val="26"/>
        </w:rPr>
        <w:t>Заключение:  6.03 сдвиг лейкоцитарной формулы вправо, повышенное СОЭ,</w:t>
      </w:r>
    </w:p>
    <w:p w:rsidR="004813D2" w:rsidRDefault="004813D2">
      <w:pPr>
        <w:jc w:val="center"/>
        <w:rPr>
          <w:i/>
          <w:szCs w:val="26"/>
        </w:rPr>
      </w:pPr>
      <w:r>
        <w:rPr>
          <w:i/>
          <w:szCs w:val="26"/>
        </w:rPr>
        <w:t xml:space="preserve"> лимф</w:t>
      </w:r>
      <w:r>
        <w:rPr>
          <w:i/>
          <w:szCs w:val="26"/>
        </w:rPr>
        <w:t>о</w:t>
      </w:r>
      <w:r>
        <w:rPr>
          <w:i/>
          <w:szCs w:val="26"/>
        </w:rPr>
        <w:t>цитопения</w:t>
      </w:r>
    </w:p>
    <w:p w:rsidR="004813D2" w:rsidRDefault="004813D2">
      <w:pPr>
        <w:rPr>
          <w:szCs w:val="26"/>
        </w:rPr>
      </w:pPr>
    </w:p>
    <w:tbl>
      <w:tblPr>
        <w:tblW w:w="7633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299"/>
        <w:gridCol w:w="1489"/>
        <w:gridCol w:w="1516"/>
        <w:gridCol w:w="11"/>
      </w:tblGrid>
      <w:tr w:rsidR="004813D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82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Биохимия крови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18.03.2003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24.03.2003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Общ. белок (г/л)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87,4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38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Биллирубин общий (мкмоль/л)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Глюкоза (ммоль/л)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5,4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Холестерин (ммоль/л)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Альбумины (г/л)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39,2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sym w:font="Symbol" w:char="F061"/>
            </w:r>
            <w:r>
              <w:rPr>
                <w:szCs w:val="26"/>
              </w:rPr>
              <w:t>1- глобулины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sym w:font="Symbol" w:char="F061"/>
            </w:r>
            <w:r>
              <w:rPr>
                <w:szCs w:val="26"/>
              </w:rPr>
              <w:t>2- глобулины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11,3%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sym w:font="Symbol" w:char="F062"/>
            </w:r>
            <w:r>
              <w:rPr>
                <w:szCs w:val="26"/>
              </w:rPr>
              <w:t>- глобулины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17,5%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sym w:font="Symbol" w:char="F067"/>
            </w:r>
            <w:r>
              <w:rPr>
                <w:szCs w:val="26"/>
              </w:rPr>
              <w:t>- глобулины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27,5%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Белковый коэффициент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Щелочная фосфатаза (U/л)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834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Креатинин мкмоль/л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АсАТ U/л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АлАТ U/л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Серомукоиды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0,148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С-белок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Мочевая кислота (ммоль/л)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0,42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Мочевина (ммоль/л)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4,8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Протромбиновый и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>декс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81,1%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Фибриноген(г/л)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4,75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Фибриноген B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сл 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81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33" w:type="dxa"/>
            <w:gridSpan w:val="5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Заключение: гиперглобулинемия(за счет </w:t>
            </w:r>
            <w:r>
              <w:rPr>
                <w:szCs w:val="26"/>
              </w:rPr>
              <w:sym w:font="Symbol" w:char="F061"/>
            </w:r>
            <w:r>
              <w:rPr>
                <w:szCs w:val="26"/>
              </w:rPr>
              <w:t xml:space="preserve">2 и </w:t>
            </w:r>
            <w:r>
              <w:rPr>
                <w:szCs w:val="26"/>
              </w:rPr>
              <w:sym w:font="Symbol" w:char="F067"/>
            </w:r>
            <w:r>
              <w:rPr>
                <w:szCs w:val="26"/>
              </w:rPr>
              <w:t>- глобулины ), г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перурикемия, СРБ+, повышенное содержание фибриногена, си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 xml:space="preserve">ловых кислот, щелочной фосфатазы </w:t>
            </w:r>
          </w:p>
        </w:tc>
      </w:tr>
    </w:tbl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tbl>
      <w:tblPr>
        <w:tblW w:w="5223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05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Анализ мочи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Цвет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светло-желтый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Прозрачность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прозрачная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Микроскопия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1-2 эритроцита в п/з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Плотность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1022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Белок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отрицательный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Мочевая кислота</w:t>
            </w:r>
          </w:p>
        </w:tc>
        <w:tc>
          <w:tcPr>
            <w:tcW w:w="2905" w:type="dxa"/>
            <w:vAlign w:val="center"/>
          </w:tcPr>
          <w:p w:rsidR="004813D2" w:rsidRDefault="004813D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5,1 ммоль/сут</w:t>
            </w:r>
          </w:p>
        </w:tc>
      </w:tr>
    </w:tbl>
    <w:p w:rsidR="004813D2" w:rsidRDefault="004813D2">
      <w:pPr>
        <w:jc w:val="center"/>
        <w:rPr>
          <w:szCs w:val="26"/>
        </w:rPr>
      </w:pPr>
      <w:r>
        <w:rPr>
          <w:i/>
          <w:szCs w:val="26"/>
        </w:rPr>
        <w:t>Заключение:</w:t>
      </w:r>
      <w:r>
        <w:rPr>
          <w:szCs w:val="26"/>
        </w:rPr>
        <w:t xml:space="preserve">  Гиперурикурия..</w:t>
      </w:r>
    </w:p>
    <w:p w:rsidR="004813D2" w:rsidRDefault="004813D2">
      <w:pPr>
        <w:jc w:val="center"/>
        <w:rPr>
          <w:szCs w:val="26"/>
        </w:rPr>
      </w:pPr>
    </w:p>
    <w:tbl>
      <w:tblPr>
        <w:tblpPr w:leftFromText="180" w:rightFromText="180" w:vertAnchor="text" w:horzAnchor="margin" w:tblpXSpec="center" w:tblpY="298"/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08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Анализ кала на яйца, глист </w:t>
            </w:r>
            <w:r>
              <w:rPr>
                <w:szCs w:val="26"/>
              </w:rPr>
              <w:t xml:space="preserve"> –  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08" w:type="dxa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Отрицательный</w:t>
            </w:r>
          </w:p>
        </w:tc>
      </w:tr>
    </w:tbl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tbl>
      <w:tblPr>
        <w:tblpPr w:leftFromText="180" w:rightFromText="180" w:vertAnchor="text" w:horzAnchor="margin" w:tblpY="378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6188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28" w:type="dxa"/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ЭКГ</w:t>
            </w:r>
          </w:p>
        </w:tc>
        <w:tc>
          <w:tcPr>
            <w:tcW w:w="6188" w:type="dxa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gridSpan w:val="2"/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Горизонтальная электрическая ось сердца. Ритм синусовый. ЧСС 70. Изменения ми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карда левого желудочка</w:t>
            </w:r>
          </w:p>
        </w:tc>
      </w:tr>
    </w:tbl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tbl>
      <w:tblPr>
        <w:tblW w:w="99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62"/>
        <w:gridCol w:w="6154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2" w:rsidRDefault="004813D2">
            <w:pPr>
              <w:ind w:firstLine="0"/>
              <w:rPr>
                <w:b/>
                <w:bCs/>
                <w:i/>
                <w:iCs/>
                <w:szCs w:val="26"/>
                <w:u w:val="single"/>
              </w:rPr>
            </w:pPr>
            <w:r>
              <w:rPr>
                <w:b/>
                <w:bCs/>
                <w:i/>
                <w:iCs/>
                <w:szCs w:val="26"/>
                <w:u w:val="single"/>
              </w:rPr>
              <w:t>ЭхоКГ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Аорта. Уплотнена, умеренно расширенна. Аортальный и митральный клапан утолщ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ны, другие клапаны без изменений. ЛЖ с умеренным расширением левых отделов. Атеросклеротический кардиосклероз. Правые отделы без особенностей. Общая сист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лическая функция с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хранена, диастолическая нарушена.</w:t>
            </w:r>
          </w:p>
        </w:tc>
      </w:tr>
    </w:tbl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p w:rsidR="004813D2" w:rsidRDefault="004813D2">
      <w:pPr>
        <w:rPr>
          <w:szCs w:val="26"/>
        </w:rPr>
      </w:pPr>
    </w:p>
    <w:tbl>
      <w:tblPr>
        <w:tblW w:w="99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914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УЗИ органов брюшной п</w:t>
            </w:r>
            <w:r>
              <w:rPr>
                <w:b/>
                <w:i/>
                <w:szCs w:val="26"/>
                <w:u w:val="single"/>
              </w:rPr>
              <w:t>о</w:t>
            </w:r>
            <w:r>
              <w:rPr>
                <w:b/>
                <w:i/>
                <w:szCs w:val="26"/>
                <w:u w:val="single"/>
              </w:rPr>
              <w:t>лости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4014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Правая доля печени не выступает из-за реберной дуги. Нижний край закруглен, п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верхность ровная. Ткань однородная, повышенной эхогенности, сосудистый рисунок обеднен. Желчные протоки и сосуды не расширены.</w:t>
            </w:r>
          </w:p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Желчный пузырь S-образной формы. Стенка утолщена до 6, контуры неровные, с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держимое однородное.</w:t>
            </w:r>
          </w:p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Поджелудочная железа не увеличена. Ткань однородная, повышенной эхоге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>ности.</w:t>
            </w:r>
          </w:p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Почки, расположены обычно, контуры ровные, четкие, дыхательная подвижность с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хранена, паренхиматозный слой достаточной толщины, хорошо дифф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ренцируется от почечных синусов. Полостные структуры не расширены, конкременты не определ</w:t>
            </w:r>
            <w:r>
              <w:rPr>
                <w:szCs w:val="26"/>
              </w:rPr>
              <w:t>я</w:t>
            </w:r>
            <w:r>
              <w:rPr>
                <w:szCs w:val="26"/>
              </w:rPr>
              <w:t>ются.</w:t>
            </w:r>
          </w:p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Селезенка. 105х46 мм. Ткань не изменена.</w:t>
            </w:r>
          </w:p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i/>
                <w:szCs w:val="26"/>
              </w:rPr>
              <w:t>Заключение</w:t>
            </w:r>
            <w:r>
              <w:rPr>
                <w:szCs w:val="26"/>
              </w:rPr>
              <w:t>: Признаки хронического холецистита.</w:t>
            </w:r>
          </w:p>
        </w:tc>
      </w:tr>
    </w:tbl>
    <w:p w:rsidR="00FA34EF" w:rsidRPr="00FA34EF" w:rsidRDefault="00FA34EF" w:rsidP="00FA34EF">
      <w:pPr>
        <w:rPr>
          <w:vanish/>
        </w:rPr>
      </w:pPr>
    </w:p>
    <w:tbl>
      <w:tblPr>
        <w:tblpPr w:leftFromText="180" w:rightFromText="180" w:vertAnchor="text" w:horzAnchor="margin" w:tblpY="298"/>
        <w:tblW w:w="9916" w:type="dxa"/>
        <w:tblLayout w:type="fixed"/>
        <w:tblLook w:val="0000" w:firstRow="0" w:lastRow="0" w:firstColumn="0" w:lastColumn="0" w:noHBand="0" w:noVBand="0"/>
      </w:tblPr>
      <w:tblGrid>
        <w:gridCol w:w="3581"/>
        <w:gridCol w:w="6335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2" w:rsidRDefault="004813D2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Консультация окулиста</w:t>
            </w:r>
          </w:p>
        </w:tc>
        <w:tc>
          <w:tcPr>
            <w:tcW w:w="6335" w:type="dxa"/>
            <w:tcBorders>
              <w:left w:val="single" w:sz="4" w:space="0" w:color="auto"/>
            </w:tcBorders>
            <w:vAlign w:val="center"/>
          </w:tcPr>
          <w:p w:rsidR="004813D2" w:rsidRDefault="004813D2">
            <w:pPr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Гипертензивный ангиосклероз сетчатки</w:t>
            </w:r>
          </w:p>
        </w:tc>
      </w:tr>
    </w:tbl>
    <w:p w:rsidR="004813D2" w:rsidRDefault="004813D2">
      <w:pPr>
        <w:rPr>
          <w:szCs w:val="26"/>
        </w:rPr>
      </w:pPr>
    </w:p>
    <w:tbl>
      <w:tblPr>
        <w:tblpPr w:leftFromText="180" w:rightFromText="180" w:vertAnchor="text" w:horzAnchor="margin" w:tblpY="298"/>
        <w:tblW w:w="9916" w:type="dxa"/>
        <w:tblLayout w:type="fixed"/>
        <w:tblLook w:val="0000" w:firstRow="0" w:lastRow="0" w:firstColumn="0" w:lastColumn="0" w:noHBand="0" w:noVBand="0"/>
      </w:tblPr>
      <w:tblGrid>
        <w:gridCol w:w="3581"/>
        <w:gridCol w:w="6335"/>
      </w:tblGrid>
      <w:tr w:rsidR="004813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jc w:val="left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 xml:space="preserve">Рентгенограмма </w:t>
            </w:r>
            <w:r>
              <w:rPr>
                <w:b/>
                <w:i/>
                <w:szCs w:val="26"/>
                <w:u w:val="single"/>
                <w:lang w:val="en-US"/>
              </w:rPr>
              <w:t xml:space="preserve">I </w:t>
            </w:r>
            <w:r>
              <w:rPr>
                <w:b/>
                <w:i/>
                <w:szCs w:val="26"/>
                <w:u w:val="single"/>
              </w:rPr>
              <w:t>ПФС</w:t>
            </w:r>
          </w:p>
        </w:tc>
        <w:tc>
          <w:tcPr>
            <w:tcW w:w="6335" w:type="dxa"/>
            <w:tcBorders>
              <w:left w:val="single" w:sz="4" w:space="0" w:color="auto"/>
            </w:tcBorders>
            <w:vAlign w:val="center"/>
          </w:tcPr>
          <w:p w:rsidR="004813D2" w:rsidRDefault="004813D2">
            <w:pPr>
              <w:rPr>
                <w:szCs w:val="26"/>
              </w:rPr>
            </w:pPr>
            <w:r>
              <w:rPr>
                <w:szCs w:val="26"/>
              </w:rPr>
              <w:t>6.03.2003</w:t>
            </w:r>
          </w:p>
        </w:tc>
      </w:tr>
      <w:tr w:rsidR="004813D2">
        <w:tblPrEx>
          <w:tblCellMar>
            <w:top w:w="0" w:type="dxa"/>
            <w:bottom w:w="0" w:type="dxa"/>
          </w:tblCellMar>
        </w:tblPrEx>
        <w:trPr>
          <w:trHeight w:val="2827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D2" w:rsidRDefault="004813D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Резкое сужение суставных щелей плюсно-фаланговых суставов </w:t>
            </w:r>
            <w:r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 xml:space="preserve"> пальцев обеих стоп. Контуры неровные за счет множестве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 xml:space="preserve">ных узур. В дистальныз эпифизах </w:t>
            </w:r>
            <w:r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 xml:space="preserve"> плюсневых костей определяются множественные мелких кистовидно-подобных просветлений. Подобные просветления имеются в основании проксимальных фаланг </w:t>
            </w:r>
            <w:r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 xml:space="preserve"> пальцев стоп. Парартикулярные обызвествления  в области обоих суставов.  Рентгенологически с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t>ставная щель межфаланговых суставов не сужены, но суставная поверхность утолщ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на, в латеральном отделе определяются краевые обызвествления, на их фоне кист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видные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 xml:space="preserve">явления, остеопороз. </w:t>
            </w:r>
          </w:p>
        </w:tc>
      </w:tr>
    </w:tbl>
    <w:p w:rsidR="004813D2" w:rsidRDefault="004813D2">
      <w:pPr>
        <w:rPr>
          <w:szCs w:val="26"/>
        </w:rPr>
      </w:pPr>
      <w:r>
        <w:rPr>
          <w:szCs w:val="26"/>
        </w:rPr>
        <w:t xml:space="preserve"> </w:t>
      </w:r>
    </w:p>
    <w:p w:rsidR="004813D2" w:rsidRDefault="004813D2">
      <w:pPr>
        <w:rPr>
          <w:szCs w:val="26"/>
        </w:rPr>
      </w:pPr>
      <w:r>
        <w:br w:type="page"/>
      </w:r>
      <w:r>
        <w:rPr>
          <w:szCs w:val="26"/>
        </w:rPr>
        <w:t xml:space="preserve"> </w:t>
      </w:r>
    </w:p>
    <w:p w:rsidR="004813D2" w:rsidRDefault="004813D2">
      <w:pPr>
        <w:pStyle w:val="1"/>
      </w:pPr>
      <w:r>
        <w:t>Эпикриз</w:t>
      </w:r>
    </w:p>
    <w:p w:rsidR="004813D2" w:rsidRDefault="004813D2">
      <w:r>
        <w:t xml:space="preserve">     Поступил в факультетские клиники СГМУ в плановом порядке с диагнозом п</w:t>
      </w:r>
      <w:r>
        <w:t>о</w:t>
      </w:r>
      <w:r>
        <w:t>ступления: Острый п</w:t>
      </w:r>
      <w:r>
        <w:t>о</w:t>
      </w:r>
      <w:r>
        <w:t>дагрический артрит.</w:t>
      </w:r>
    </w:p>
    <w:p w:rsidR="004813D2" w:rsidRDefault="004813D2">
      <w:r>
        <w:t>Основные жалобы: внезапно появившиеся, сильные, ноющие боли в первых плюснефаланговых суставах обеих стоп. Боли не стихающие, усиливающие при ф</w:t>
      </w:r>
      <w:r>
        <w:t>и</w:t>
      </w:r>
      <w:r>
        <w:t>зич</w:t>
      </w:r>
      <w:r>
        <w:t>е</w:t>
      </w:r>
      <w:r>
        <w:t>ской нагрузке, к вечеру и ночью; покраснение кожи над суставами; ограничение движения в первых плюснефаланговых суставах обеих стоп;  отечность  первых плюснефаланговых суставов; отечность голеностопных суставов; на локальное п</w:t>
      </w:r>
      <w:r>
        <w:t>о</w:t>
      </w:r>
      <w:r>
        <w:t>вышение температуры над первыми плюснефаланговыми сустав</w:t>
      </w:r>
      <w:r>
        <w:t>а</w:t>
      </w:r>
      <w:r>
        <w:t>ми обеих стоп;</w:t>
      </w:r>
    </w:p>
    <w:p w:rsidR="004813D2" w:rsidRDefault="004813D2">
      <w:r>
        <w:t>В клиниках факультетской терапии пациенту было начато обследование: общий анализ и биохимия  крови, общий анализ мочи, ЭКГ, ЭхКГ, УЗИ органов брю</w:t>
      </w:r>
      <w:r>
        <w:t>ш</w:t>
      </w:r>
      <w:r>
        <w:t>ной полости, рентгенография плюснефаланговых суставов,  обследование окул</w:t>
      </w:r>
      <w:r>
        <w:t>и</w:t>
      </w:r>
      <w:r>
        <w:t>ста.</w:t>
      </w:r>
    </w:p>
    <w:p w:rsidR="004813D2" w:rsidRDefault="004813D2">
      <w:pPr>
        <w:rPr>
          <w:szCs w:val="26"/>
        </w:rPr>
      </w:pPr>
      <w:r>
        <w:t xml:space="preserve">На основании объективных, лабораторных и инструментальных исследований был поставлен диагноз: </w:t>
      </w:r>
      <w:r>
        <w:rPr>
          <w:szCs w:val="26"/>
        </w:rPr>
        <w:t>Хроническая подагра: хронический подагрический артрит. Фаза обострения. Внутрикостные тофусы. Сопутствующие</w:t>
      </w:r>
      <w:r>
        <w:t xml:space="preserve"> заболевания: Гипертон</w:t>
      </w:r>
      <w:r>
        <w:t>и</w:t>
      </w:r>
      <w:r>
        <w:t xml:space="preserve">ческая болезнь, II стадии, II степени,   средний риск (возраст, </w:t>
      </w:r>
      <w:r>
        <w:rPr>
          <w:szCs w:val="26"/>
        </w:rPr>
        <w:t>и</w:t>
      </w:r>
      <w:r>
        <w:rPr>
          <w:szCs w:val="26"/>
        </w:rPr>
        <w:t>з</w:t>
      </w:r>
      <w:r>
        <w:rPr>
          <w:szCs w:val="26"/>
        </w:rPr>
        <w:t xml:space="preserve">быточный вес) </w:t>
      </w:r>
    </w:p>
    <w:p w:rsidR="004813D2" w:rsidRDefault="004813D2">
      <w:r>
        <w:t xml:space="preserve">Диагноз </w:t>
      </w:r>
      <w:r>
        <w:rPr>
          <w:u w:val="single"/>
        </w:rPr>
        <w:t>подагрический артрит</w:t>
      </w:r>
      <w:r>
        <w:t xml:space="preserve"> был поставлен на основании наличия в клинике нашего пациента следующих признаков:</w:t>
      </w:r>
    </w:p>
    <w:p w:rsidR="004813D2" w:rsidRDefault="004813D2" w:rsidP="00FA34EF">
      <w:pPr>
        <w:numPr>
          <w:ilvl w:val="0"/>
          <w:numId w:val="6"/>
        </w:numPr>
      </w:pPr>
      <w:r>
        <w:t>Клинические признаки типичного подагрического артрита:</w:t>
      </w:r>
    </w:p>
    <w:p w:rsidR="004813D2" w:rsidRDefault="004813D2" w:rsidP="00FA34EF">
      <w:pPr>
        <w:numPr>
          <w:ilvl w:val="0"/>
          <w:numId w:val="5"/>
        </w:numPr>
      </w:pPr>
      <w:r>
        <w:t>поражение первых плюснефаланговых суставов стоп;</w:t>
      </w:r>
    </w:p>
    <w:p w:rsidR="004813D2" w:rsidRDefault="004813D2" w:rsidP="00FA34EF">
      <w:pPr>
        <w:numPr>
          <w:ilvl w:val="0"/>
          <w:numId w:val="5"/>
        </w:numPr>
      </w:pPr>
      <w:r>
        <w:t>артрит имеет яркую клиническую картину (резкая, сильная боль; пов</w:t>
      </w:r>
      <w:r>
        <w:t>ы</w:t>
      </w:r>
      <w:r>
        <w:t>шение локальной температуры над суставами; выраженная отечность с</w:t>
      </w:r>
      <w:r>
        <w:t>у</w:t>
      </w:r>
      <w:r>
        <w:t>ставов и нарушение функции);</w:t>
      </w:r>
    </w:p>
    <w:p w:rsidR="004813D2" w:rsidRDefault="004813D2" w:rsidP="00FA34EF">
      <w:pPr>
        <w:numPr>
          <w:ilvl w:val="0"/>
          <w:numId w:val="5"/>
        </w:numPr>
      </w:pPr>
      <w:r>
        <w:t>артрит имел внезапное начало на фоне полного здоровья, появился в но</w:t>
      </w:r>
      <w:r>
        <w:t>ч</w:t>
      </w:r>
      <w:r>
        <w:t>ное время, после, предположительно, приема спиртного (больной встр</w:t>
      </w:r>
      <w:r>
        <w:t>е</w:t>
      </w:r>
      <w:r>
        <w:t>чал новый год в поезде) – провоцирующего фактора.</w:t>
      </w:r>
    </w:p>
    <w:p w:rsidR="004813D2" w:rsidRDefault="004813D2" w:rsidP="00FA34EF">
      <w:pPr>
        <w:numPr>
          <w:ilvl w:val="0"/>
          <w:numId w:val="5"/>
        </w:numPr>
      </w:pPr>
      <w:r>
        <w:t>нестойкость артрита: т.е. артрит держался 5-6 дней, в дальнейшем пр</w:t>
      </w:r>
      <w:r>
        <w:t>о</w:t>
      </w:r>
      <w:r>
        <w:t xml:space="preserve">цесс стихал, происходило обратно развитие признаков воспаления; </w:t>
      </w:r>
    </w:p>
    <w:p w:rsidR="004813D2" w:rsidRDefault="004813D2" w:rsidP="00FA34EF">
      <w:pPr>
        <w:numPr>
          <w:ilvl w:val="0"/>
          <w:numId w:val="6"/>
        </w:numPr>
      </w:pPr>
      <w:r>
        <w:t>Клинико-лабораторные признаки:</w:t>
      </w:r>
    </w:p>
    <w:p w:rsidR="004813D2" w:rsidRDefault="004813D2" w:rsidP="00FA34EF">
      <w:pPr>
        <w:numPr>
          <w:ilvl w:val="0"/>
          <w:numId w:val="7"/>
        </w:numPr>
      </w:pPr>
      <w:r>
        <w:t>повышение мочевой кислоты в сыворотки крови больше 0,45 ммоль/л – 0,5 ммоль/л;</w:t>
      </w:r>
    </w:p>
    <w:p w:rsidR="004813D2" w:rsidRDefault="004813D2" w:rsidP="00FA34EF">
      <w:pPr>
        <w:numPr>
          <w:ilvl w:val="0"/>
          <w:numId w:val="7"/>
        </w:numPr>
      </w:pPr>
      <w:r>
        <w:t xml:space="preserve">наличие на рентгене внутрикостных тофусов. </w:t>
      </w:r>
    </w:p>
    <w:p w:rsidR="004813D2" w:rsidRDefault="004813D2">
      <w:r>
        <w:t>У нашего больного присутствуют 3 диагностически достоверных признаков (при 2-х необходимых) достоверного диагноза подагрического артрита, что позволяет точно установить диагноз – подагрический ар</w:t>
      </w:r>
      <w:r>
        <w:t>т</w:t>
      </w:r>
      <w:r>
        <w:t>рит.</w:t>
      </w:r>
    </w:p>
    <w:p w:rsidR="004813D2" w:rsidRDefault="004813D2">
      <w:r>
        <w:t xml:space="preserve">У данного больного подагрический артрит имеет </w:t>
      </w:r>
      <w:r>
        <w:rPr>
          <w:u w:val="single"/>
        </w:rPr>
        <w:t>первичную этиологию</w:t>
      </w:r>
      <w:r>
        <w:t>, т.к. у п</w:t>
      </w:r>
      <w:r>
        <w:t>а</w:t>
      </w:r>
      <w:r>
        <w:t>циента нет данных за наличие заболеваний, которые могли бы привести к подагре (гематологические заболевания, злокачественные новообразования, эндокринные нарушения, п</w:t>
      </w:r>
      <w:r>
        <w:t>а</w:t>
      </w:r>
      <w:r>
        <w:t>тология почек и др.)</w:t>
      </w:r>
    </w:p>
    <w:p w:rsidR="004813D2" w:rsidRDefault="004813D2">
      <w:r>
        <w:rPr>
          <w:u w:val="single"/>
        </w:rPr>
        <w:t>Хроническое течение</w:t>
      </w:r>
      <w:r>
        <w:t xml:space="preserve"> ставится на основании анамнестических данных – нал</w:t>
      </w:r>
      <w:r>
        <w:t>и</w:t>
      </w:r>
      <w:r>
        <w:t>чие в анамнезе приступов болей в первых плюснефаланговых суставах стоп на пр</w:t>
      </w:r>
      <w:r>
        <w:t>о</w:t>
      </w:r>
      <w:r>
        <w:t>тяжении последних пяти лет. Не выраженность симптомов воспаление суст</w:t>
      </w:r>
      <w:r>
        <w:t>а</w:t>
      </w:r>
      <w:r>
        <w:t>вов, по видимому объясняется астеническим вариантом течения подагры у пац</w:t>
      </w:r>
      <w:r>
        <w:t>и</w:t>
      </w:r>
      <w:r>
        <w:t>ента в эти последние 5 лет. Также по рентгену присутствуют признаки хронического течения п</w:t>
      </w:r>
      <w:r>
        <w:t>о</w:t>
      </w:r>
      <w:r>
        <w:t>дагры – это наличие «специфических» изменений:  симптом «пробойника» , симптом «воздушн</w:t>
      </w:r>
      <w:r>
        <w:t>о</w:t>
      </w:r>
      <w:r>
        <w:t>го костного края», атрофия кости.</w:t>
      </w:r>
    </w:p>
    <w:p w:rsidR="004813D2" w:rsidRDefault="004813D2">
      <w:pPr>
        <w:rPr>
          <w:u w:val="single"/>
        </w:rPr>
      </w:pPr>
      <w:r>
        <w:t>Наличие по лабораторным данным  острофазовых показателей (гиперглоб</w:t>
      </w:r>
      <w:r>
        <w:t>у</w:t>
      </w:r>
      <w:r>
        <w:t>линемия, СРБ+, сиаловые кислоты, повышение фибриногена, СОЭ) и данных клин</w:t>
      </w:r>
      <w:r>
        <w:t>и</w:t>
      </w:r>
      <w:r>
        <w:t>ческой картины (клиника острого воспаления первых плюснефаланговых суставов и наличие межприступного периода) говорит об активности воспалительного процесса – нал</w:t>
      </w:r>
      <w:r>
        <w:t>и</w:t>
      </w:r>
      <w:r>
        <w:t xml:space="preserve">чии </w:t>
      </w:r>
      <w:r>
        <w:rPr>
          <w:u w:val="single"/>
        </w:rPr>
        <w:t>фазы обострения хронич</w:t>
      </w:r>
      <w:r>
        <w:rPr>
          <w:u w:val="single"/>
        </w:rPr>
        <w:t>е</w:t>
      </w:r>
      <w:r>
        <w:rPr>
          <w:u w:val="single"/>
        </w:rPr>
        <w:t>ского течения.</w:t>
      </w:r>
    </w:p>
    <w:p w:rsidR="004813D2" w:rsidRDefault="004813D2">
      <w:pPr>
        <w:rPr>
          <w:rStyle w:val="a4"/>
          <w:u w:val="single"/>
        </w:rPr>
      </w:pPr>
      <w:r>
        <w:rPr>
          <w:rStyle w:val="a4"/>
          <w:u w:val="single"/>
        </w:rPr>
        <w:t>Гипертоническая болезнь: II стадия, II степень. Риск I</w:t>
      </w:r>
      <w:r>
        <w:rPr>
          <w:rStyle w:val="a4"/>
          <w:u w:val="single"/>
          <w:lang w:val="en-US"/>
        </w:rPr>
        <w:t>II</w:t>
      </w:r>
      <w:r>
        <w:rPr>
          <w:rStyle w:val="a4"/>
          <w:u w:val="single"/>
        </w:rPr>
        <w:t>.</w:t>
      </w:r>
    </w:p>
    <w:p w:rsidR="004813D2" w:rsidRDefault="004813D2">
      <w:pPr>
        <w:rPr>
          <w:rStyle w:val="a4"/>
        </w:rPr>
      </w:pPr>
      <w:r>
        <w:rPr>
          <w:rStyle w:val="a4"/>
        </w:rPr>
        <w:t>У больного имеется гипертензивный синдром, на что указывает высокие цифры а</w:t>
      </w:r>
      <w:r>
        <w:rPr>
          <w:rStyle w:val="a4"/>
        </w:rPr>
        <w:t>р</w:t>
      </w:r>
      <w:r>
        <w:rPr>
          <w:rStyle w:val="a4"/>
        </w:rPr>
        <w:t>териального давления до 160-180/90 мм. рт. ст., которые регистрировались после</w:t>
      </w:r>
      <w:r>
        <w:rPr>
          <w:rStyle w:val="a4"/>
        </w:rPr>
        <w:t>д</w:t>
      </w:r>
      <w:r>
        <w:rPr>
          <w:rStyle w:val="a4"/>
        </w:rPr>
        <w:t xml:space="preserve">ние  года. С середины 90 годов пациент отмечает головные боли, шум в ушах, при этом давление он не измерял. При осмотре глазного дна выявляется </w:t>
      </w:r>
      <w:r>
        <w:rPr>
          <w:szCs w:val="26"/>
        </w:rPr>
        <w:t>гипертензивный а</w:t>
      </w:r>
      <w:r>
        <w:rPr>
          <w:szCs w:val="26"/>
        </w:rPr>
        <w:t>н</w:t>
      </w:r>
      <w:r>
        <w:rPr>
          <w:szCs w:val="26"/>
        </w:rPr>
        <w:t>гиосклероз сетчатки</w:t>
      </w:r>
      <w:r>
        <w:rPr>
          <w:rStyle w:val="a4"/>
        </w:rPr>
        <w:t>.  На момент курации, у пациента артериальное давление соста</w:t>
      </w:r>
      <w:r>
        <w:rPr>
          <w:rStyle w:val="a4"/>
        </w:rPr>
        <w:t>в</w:t>
      </w:r>
      <w:r>
        <w:rPr>
          <w:rStyle w:val="a4"/>
        </w:rPr>
        <w:t>ляло 160/90 мм. рт. ст.</w:t>
      </w:r>
    </w:p>
    <w:p w:rsidR="004813D2" w:rsidRDefault="004813D2">
      <w:pPr>
        <w:rPr>
          <w:rStyle w:val="a4"/>
        </w:rPr>
      </w:pPr>
      <w:r>
        <w:rPr>
          <w:rStyle w:val="a4"/>
        </w:rPr>
        <w:t>Симптоматическая гипертензия исключается, так как у больного не имеется да</w:t>
      </w:r>
      <w:r>
        <w:rPr>
          <w:rStyle w:val="a4"/>
        </w:rPr>
        <w:t>н</w:t>
      </w:r>
      <w:r>
        <w:rPr>
          <w:rStyle w:val="a4"/>
        </w:rPr>
        <w:t>ных за симптоматическую гипертензию:</w:t>
      </w:r>
    </w:p>
    <w:p w:rsidR="004813D2" w:rsidRDefault="004813D2" w:rsidP="00FA34EF">
      <w:pPr>
        <w:numPr>
          <w:ilvl w:val="0"/>
          <w:numId w:val="9"/>
        </w:numPr>
        <w:rPr>
          <w:rStyle w:val="a4"/>
        </w:rPr>
      </w:pPr>
      <w:r>
        <w:rPr>
          <w:rStyle w:val="a4"/>
        </w:rPr>
        <w:t>по УЗИ почки не изменены, анализы мочи в норме (исключение ренальной гипертензии);</w:t>
      </w:r>
    </w:p>
    <w:p w:rsidR="004813D2" w:rsidRDefault="004813D2" w:rsidP="00FA34EF">
      <w:pPr>
        <w:numPr>
          <w:ilvl w:val="0"/>
          <w:numId w:val="9"/>
        </w:numPr>
        <w:rPr>
          <w:rStyle w:val="a4"/>
        </w:rPr>
      </w:pPr>
      <w:r>
        <w:rPr>
          <w:rStyle w:val="a4"/>
        </w:rPr>
        <w:t>нет данных за феохромоцитому, болезнь или синдром Иценко-Кушига, си</w:t>
      </w:r>
      <w:r>
        <w:rPr>
          <w:rStyle w:val="a4"/>
        </w:rPr>
        <w:t>н</w:t>
      </w:r>
      <w:r>
        <w:rPr>
          <w:rStyle w:val="a4"/>
        </w:rPr>
        <w:t>дром Конна;</w:t>
      </w:r>
    </w:p>
    <w:p w:rsidR="004813D2" w:rsidRDefault="004813D2">
      <w:pPr>
        <w:rPr>
          <w:rStyle w:val="a4"/>
        </w:rPr>
      </w:pPr>
      <w:r>
        <w:rPr>
          <w:rStyle w:val="a4"/>
        </w:rPr>
        <w:t>Следовательно, можно поставить диагноз гипертоническая болезнь.  Поскольку  пациент не измерял и не обращал на подъем артериального давления внимание, леч</w:t>
      </w:r>
      <w:r>
        <w:rPr>
          <w:rStyle w:val="a4"/>
        </w:rPr>
        <w:t>е</w:t>
      </w:r>
      <w:r>
        <w:rPr>
          <w:rStyle w:val="a4"/>
        </w:rPr>
        <w:t>ния не проходил, то можно п</w:t>
      </w:r>
      <w:r>
        <w:rPr>
          <w:rStyle w:val="a4"/>
        </w:rPr>
        <w:t>о</w:t>
      </w:r>
      <w:r>
        <w:rPr>
          <w:rStyle w:val="a4"/>
        </w:rPr>
        <w:t>ставить II степень гипертонической болезни.</w:t>
      </w:r>
    </w:p>
    <w:p w:rsidR="004813D2" w:rsidRDefault="004813D2">
      <w:pPr>
        <w:rPr>
          <w:rStyle w:val="a4"/>
        </w:rPr>
      </w:pPr>
      <w:r>
        <w:rPr>
          <w:rStyle w:val="a4"/>
        </w:rPr>
        <w:t>Принимая во внимание сочетание артериальной гипертензии с поражения о</w:t>
      </w:r>
      <w:r>
        <w:rPr>
          <w:rStyle w:val="a4"/>
        </w:rPr>
        <w:t>р</w:t>
      </w:r>
      <w:r>
        <w:rPr>
          <w:rStyle w:val="a4"/>
        </w:rPr>
        <w:t>ганов-мишеней (гипертоническая ангиопатия сетчатки), возможно утверждать нал</w:t>
      </w:r>
      <w:r>
        <w:rPr>
          <w:rStyle w:val="a4"/>
        </w:rPr>
        <w:t>и</w:t>
      </w:r>
      <w:r>
        <w:rPr>
          <w:rStyle w:val="a4"/>
        </w:rPr>
        <w:t>чие II стадии гипертонической болезни.</w:t>
      </w:r>
    </w:p>
    <w:p w:rsidR="004813D2" w:rsidRDefault="004813D2">
      <w:pPr>
        <w:rPr>
          <w:rStyle w:val="a4"/>
        </w:rPr>
      </w:pPr>
      <w:r>
        <w:rPr>
          <w:rStyle w:val="a4"/>
        </w:rPr>
        <w:t>У больной имеются следующие факторы риска: гипертоническая болезнь II степ</w:t>
      </w:r>
      <w:r>
        <w:rPr>
          <w:rStyle w:val="a4"/>
        </w:rPr>
        <w:t>е</w:t>
      </w:r>
      <w:r>
        <w:rPr>
          <w:rStyle w:val="a4"/>
        </w:rPr>
        <w:t>ни, возраст 63 года, мужской пол, поражение органов-мишеней (</w:t>
      </w:r>
      <w:r>
        <w:rPr>
          <w:szCs w:val="26"/>
        </w:rPr>
        <w:t>гипертензивный а</w:t>
      </w:r>
      <w:r>
        <w:rPr>
          <w:szCs w:val="26"/>
        </w:rPr>
        <w:t>н</w:t>
      </w:r>
      <w:r>
        <w:rPr>
          <w:szCs w:val="26"/>
        </w:rPr>
        <w:t>гиосклероз сетчатки</w:t>
      </w:r>
      <w:r>
        <w:rPr>
          <w:rStyle w:val="a4"/>
        </w:rPr>
        <w:t>). Следовательно, риск I</w:t>
      </w:r>
      <w:r>
        <w:rPr>
          <w:rStyle w:val="a4"/>
          <w:lang w:val="en-US"/>
        </w:rPr>
        <w:t>II</w:t>
      </w:r>
      <w:r>
        <w:rPr>
          <w:rStyle w:val="a4"/>
        </w:rPr>
        <w:t xml:space="preserve"> (высокий).</w:t>
      </w:r>
    </w:p>
    <w:p w:rsidR="004813D2" w:rsidRDefault="004813D2">
      <w:pPr>
        <w:rPr>
          <w:szCs w:val="26"/>
        </w:rPr>
      </w:pPr>
      <w:r>
        <w:rPr>
          <w:szCs w:val="26"/>
        </w:rPr>
        <w:t>Анализируя клиническую картину, данные анамнеза в клинике был произведен дифференциальный диагноз по дифференциальному ряду, включающего заболевания характеризуемые наличием суставного си</w:t>
      </w:r>
      <w:r>
        <w:rPr>
          <w:szCs w:val="26"/>
        </w:rPr>
        <w:t>н</w:t>
      </w:r>
      <w:r>
        <w:rPr>
          <w:szCs w:val="26"/>
        </w:rPr>
        <w:t>дрома(артрита):</w:t>
      </w:r>
    </w:p>
    <w:p w:rsidR="004813D2" w:rsidRDefault="004813D2" w:rsidP="00FA34EF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Ревматоидный артрит;</w:t>
      </w:r>
    </w:p>
    <w:p w:rsidR="004813D2" w:rsidRDefault="004813D2" w:rsidP="00FA34EF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Хондрокальциноз (пирофосфатная артропатия);</w:t>
      </w:r>
    </w:p>
    <w:p w:rsidR="004813D2" w:rsidRDefault="004813D2" w:rsidP="00FA34EF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Реактивный артрит;</w:t>
      </w:r>
    </w:p>
    <w:p w:rsidR="004813D2" w:rsidRDefault="004813D2" w:rsidP="00FA34EF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Остеоартроз</w:t>
      </w:r>
      <w:r>
        <w:t xml:space="preserve"> </w:t>
      </w:r>
      <w:r>
        <w:rPr>
          <w:lang w:val="en-US"/>
        </w:rPr>
        <w:t>I</w:t>
      </w:r>
      <w:r>
        <w:t xml:space="preserve"> плюснефалангового сустава</w:t>
      </w:r>
      <w:r>
        <w:rPr>
          <w:szCs w:val="26"/>
        </w:rPr>
        <w:t>;</w:t>
      </w:r>
    </w:p>
    <w:p w:rsidR="004813D2" w:rsidRDefault="004813D2" w:rsidP="00FA34EF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Подагрический артрит;</w:t>
      </w:r>
    </w:p>
    <w:p w:rsidR="004813D2" w:rsidRDefault="004813D2">
      <w:pPr>
        <w:ind w:left="644" w:firstLine="0"/>
        <w:rPr>
          <w:szCs w:val="26"/>
        </w:rPr>
      </w:pPr>
    </w:p>
    <w:p w:rsidR="004813D2" w:rsidRDefault="004813D2">
      <w:pPr>
        <w:rPr>
          <w:szCs w:val="26"/>
        </w:rPr>
      </w:pPr>
      <w:r>
        <w:rPr>
          <w:b/>
          <w:i/>
          <w:szCs w:val="26"/>
          <w:u w:val="single"/>
        </w:rPr>
        <w:t>Ревматоидный артрит(РА</w:t>
      </w:r>
      <w:r>
        <w:rPr>
          <w:i/>
          <w:szCs w:val="26"/>
          <w:u w:val="single"/>
        </w:rPr>
        <w:t>).</w:t>
      </w:r>
      <w:r>
        <w:rPr>
          <w:szCs w:val="26"/>
        </w:rPr>
        <w:t xml:space="preserve"> При этом заболевании поражении суставов стоп, процесс локализуется в плюснефаланговых суставах </w:t>
      </w:r>
      <w:r>
        <w:rPr>
          <w:szCs w:val="26"/>
          <w:lang w:val="en-US"/>
        </w:rPr>
        <w:t>II</w:t>
      </w:r>
      <w:r>
        <w:rPr>
          <w:szCs w:val="26"/>
        </w:rPr>
        <w:t xml:space="preserve">, </w:t>
      </w:r>
      <w:r>
        <w:rPr>
          <w:szCs w:val="26"/>
          <w:lang w:val="en-US"/>
        </w:rPr>
        <w:t>III</w:t>
      </w:r>
      <w:r>
        <w:rPr>
          <w:szCs w:val="26"/>
        </w:rPr>
        <w:t xml:space="preserve">, </w:t>
      </w:r>
      <w:r>
        <w:rPr>
          <w:szCs w:val="26"/>
          <w:lang w:val="en-US"/>
        </w:rPr>
        <w:t>IV</w:t>
      </w:r>
      <w:r>
        <w:rPr>
          <w:szCs w:val="26"/>
        </w:rPr>
        <w:t xml:space="preserve"> пальцев и проя</w:t>
      </w:r>
      <w:r>
        <w:rPr>
          <w:szCs w:val="26"/>
        </w:rPr>
        <w:t>в</w:t>
      </w:r>
      <w:r>
        <w:rPr>
          <w:szCs w:val="26"/>
        </w:rPr>
        <w:t xml:space="preserve">ляется припухлостью и болями при ходьбе. Постепенно развивается деформация стопы с формированием </w:t>
      </w:r>
      <w:r>
        <w:rPr>
          <w:szCs w:val="26"/>
          <w:lang w:val="en-US"/>
        </w:rPr>
        <w:t>hallux</w:t>
      </w:r>
      <w:r>
        <w:rPr>
          <w:szCs w:val="26"/>
        </w:rPr>
        <w:t xml:space="preserve"> </w:t>
      </w:r>
      <w:r>
        <w:rPr>
          <w:szCs w:val="26"/>
          <w:lang w:val="en-US"/>
        </w:rPr>
        <w:t>valgus</w:t>
      </w:r>
      <w:r>
        <w:rPr>
          <w:szCs w:val="26"/>
        </w:rPr>
        <w:t>, молоткообразным изменением конфиг</w:t>
      </w:r>
      <w:r>
        <w:rPr>
          <w:szCs w:val="26"/>
        </w:rPr>
        <w:t>у</w:t>
      </w:r>
      <w:r>
        <w:rPr>
          <w:szCs w:val="26"/>
        </w:rPr>
        <w:t>рации пальцев с подвывихами в плюснефаланговых суставах.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Типичным для РА является двустороннее симметричное поражение суставов. Начало заболевания чаще всего подострое, реже острое, чаще всего возникает в во</w:t>
      </w:r>
      <w:r>
        <w:rPr>
          <w:szCs w:val="26"/>
        </w:rPr>
        <w:t>з</w:t>
      </w:r>
      <w:r>
        <w:rPr>
          <w:szCs w:val="26"/>
        </w:rPr>
        <w:t>расте 25-50 лет. В ранней фазе заболевания характерно преобладание экссудативных явлений с наличием выпота в суставах, воспалительным отеком периартикулярных тканей. Характерна утренняя скованность. Резкой болезненностью при пальпации п</w:t>
      </w:r>
      <w:r>
        <w:rPr>
          <w:szCs w:val="26"/>
        </w:rPr>
        <w:t>о</w:t>
      </w:r>
      <w:r>
        <w:rPr>
          <w:szCs w:val="26"/>
        </w:rPr>
        <w:t>раженных суставов, ограничением движений в них. Кожа над суставом гиперемир</w:t>
      </w:r>
      <w:r>
        <w:rPr>
          <w:szCs w:val="26"/>
        </w:rPr>
        <w:t>о</w:t>
      </w:r>
      <w:r>
        <w:rPr>
          <w:szCs w:val="26"/>
        </w:rPr>
        <w:t>вана, горячая на ощупь. По мере прогрессирования заболевания начинают значител</w:t>
      </w:r>
      <w:r>
        <w:rPr>
          <w:szCs w:val="26"/>
        </w:rPr>
        <w:t>ь</w:t>
      </w:r>
      <w:r>
        <w:rPr>
          <w:szCs w:val="26"/>
        </w:rPr>
        <w:t>но преобладать пролиферативные явления, развиваются фиброзные изменения в с</w:t>
      </w:r>
      <w:r>
        <w:rPr>
          <w:szCs w:val="26"/>
        </w:rPr>
        <w:t>у</w:t>
      </w:r>
      <w:r>
        <w:rPr>
          <w:szCs w:val="26"/>
        </w:rPr>
        <w:t>ставной капсуле, связках, сухожилиях, что приводит к развитию деформации с</w:t>
      </w:r>
      <w:r>
        <w:rPr>
          <w:szCs w:val="26"/>
        </w:rPr>
        <w:t>у</w:t>
      </w:r>
      <w:r>
        <w:rPr>
          <w:szCs w:val="26"/>
        </w:rPr>
        <w:t>ставов, подвывихам, контрактурам. Движения в суставах ограничиваются, в дал</w:t>
      </w:r>
      <w:r>
        <w:rPr>
          <w:szCs w:val="26"/>
        </w:rPr>
        <w:t>ь</w:t>
      </w:r>
      <w:r>
        <w:rPr>
          <w:szCs w:val="26"/>
        </w:rPr>
        <w:t>нейшем по мере развития анкилозов наступает полная неподвижность су</w:t>
      </w:r>
      <w:r>
        <w:rPr>
          <w:szCs w:val="26"/>
        </w:rPr>
        <w:t>с</w:t>
      </w:r>
      <w:r>
        <w:rPr>
          <w:szCs w:val="26"/>
        </w:rPr>
        <w:t>тавов.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Для РА характерны подкожные ревматоидные узелки – это плотные округлые с</w:t>
      </w:r>
      <w:r>
        <w:rPr>
          <w:szCs w:val="26"/>
        </w:rPr>
        <w:t>о</w:t>
      </w:r>
      <w:r>
        <w:rPr>
          <w:szCs w:val="26"/>
        </w:rPr>
        <w:t>единительнотканные образования диаметром до 1,5-2 см. Безболезненные, подви</w:t>
      </w:r>
      <w:r>
        <w:rPr>
          <w:szCs w:val="26"/>
        </w:rPr>
        <w:t>ж</w:t>
      </w:r>
      <w:r>
        <w:rPr>
          <w:szCs w:val="26"/>
        </w:rPr>
        <w:t>ные. На рентгенограмме присутствуют признаки остеопороза, остеолизиса, эрозии и анкилоза. В 80-90% случаев  в крови определяется ревм</w:t>
      </w:r>
      <w:r>
        <w:rPr>
          <w:szCs w:val="26"/>
        </w:rPr>
        <w:t>а</w:t>
      </w:r>
      <w:r>
        <w:rPr>
          <w:szCs w:val="26"/>
        </w:rPr>
        <w:t>тоидный фактор.</w:t>
      </w:r>
    </w:p>
    <w:p w:rsidR="004813D2" w:rsidRDefault="004813D2">
      <w:pPr>
        <w:rPr>
          <w:szCs w:val="26"/>
        </w:rPr>
      </w:pPr>
      <w:r>
        <w:rPr>
          <w:szCs w:val="26"/>
        </w:rPr>
        <w:t xml:space="preserve"> Диагностическими критериями ревматоидного артрита являются: утренняя ск</w:t>
      </w:r>
      <w:r>
        <w:rPr>
          <w:szCs w:val="26"/>
        </w:rPr>
        <w:t>о</w:t>
      </w:r>
      <w:r>
        <w:rPr>
          <w:szCs w:val="26"/>
        </w:rPr>
        <w:t>ванность(более 1 часа), артрит суставов кисти, симметричный артрит, ревмат</w:t>
      </w:r>
      <w:r>
        <w:rPr>
          <w:szCs w:val="26"/>
        </w:rPr>
        <w:t>о</w:t>
      </w:r>
      <w:r>
        <w:rPr>
          <w:szCs w:val="26"/>
        </w:rPr>
        <w:t>идные узелки, ревматоидный фактор в сыворотке крови, типичные рентгенологические и</w:t>
      </w:r>
      <w:r>
        <w:rPr>
          <w:szCs w:val="26"/>
        </w:rPr>
        <w:t>з</w:t>
      </w:r>
      <w:r>
        <w:rPr>
          <w:szCs w:val="26"/>
        </w:rPr>
        <w:t>менения в во</w:t>
      </w:r>
      <w:r>
        <w:rPr>
          <w:szCs w:val="26"/>
        </w:rPr>
        <w:t>с</w:t>
      </w:r>
      <w:r>
        <w:rPr>
          <w:szCs w:val="26"/>
        </w:rPr>
        <w:t>паленных суставах.</w:t>
      </w:r>
    </w:p>
    <w:p w:rsidR="004813D2" w:rsidRDefault="004813D2">
      <w:pPr>
        <w:rPr>
          <w:szCs w:val="26"/>
        </w:rPr>
      </w:pPr>
      <w:r>
        <w:rPr>
          <w:szCs w:val="26"/>
        </w:rPr>
        <w:t>Сравнивая клинику ревматоидного артрита с клиникой нашего пациента можно выявить только 3 диагностических признака – это симметричность пораж</w:t>
      </w:r>
      <w:r>
        <w:rPr>
          <w:szCs w:val="26"/>
        </w:rPr>
        <w:t>е</w:t>
      </w:r>
      <w:r>
        <w:rPr>
          <w:szCs w:val="26"/>
        </w:rPr>
        <w:t>ния(поражены суставы правой и левой стопы) и рентгенологические признаки (ост</w:t>
      </w:r>
      <w:r>
        <w:rPr>
          <w:szCs w:val="26"/>
        </w:rPr>
        <w:t>е</w:t>
      </w:r>
      <w:r>
        <w:rPr>
          <w:szCs w:val="26"/>
        </w:rPr>
        <w:t>опороз, сужение суставной щели), но эти признаки характерны и для других забол</w:t>
      </w:r>
      <w:r>
        <w:rPr>
          <w:szCs w:val="26"/>
        </w:rPr>
        <w:t>е</w:t>
      </w:r>
      <w:r>
        <w:rPr>
          <w:szCs w:val="26"/>
        </w:rPr>
        <w:t>ваний суставов и не являются специфическими. Отсутствие других признаков РА, н</w:t>
      </w:r>
      <w:r>
        <w:rPr>
          <w:szCs w:val="26"/>
        </w:rPr>
        <w:t>е</w:t>
      </w:r>
      <w:r>
        <w:rPr>
          <w:szCs w:val="26"/>
        </w:rPr>
        <w:t>обходимых для точного установления диагноза, позволяет нам вычеркнуть ревмат</w:t>
      </w:r>
      <w:r>
        <w:rPr>
          <w:szCs w:val="26"/>
        </w:rPr>
        <w:t>о</w:t>
      </w:r>
      <w:r>
        <w:rPr>
          <w:szCs w:val="26"/>
        </w:rPr>
        <w:t>идный артрит из дифференциального р</w:t>
      </w:r>
      <w:r>
        <w:rPr>
          <w:szCs w:val="26"/>
        </w:rPr>
        <w:t>я</w:t>
      </w:r>
      <w:r>
        <w:rPr>
          <w:szCs w:val="26"/>
        </w:rPr>
        <w:t>да.</w:t>
      </w:r>
    </w:p>
    <w:p w:rsidR="004813D2" w:rsidRDefault="004813D2">
      <w:pPr>
        <w:rPr>
          <w:szCs w:val="26"/>
        </w:rPr>
      </w:pPr>
      <w:r>
        <w:rPr>
          <w:b/>
          <w:i/>
          <w:szCs w:val="26"/>
          <w:u w:val="single"/>
        </w:rPr>
        <w:t>Хондрокальциноз (пирофосфатная артропатия).</w:t>
      </w:r>
      <w:r>
        <w:rPr>
          <w:szCs w:val="26"/>
        </w:rPr>
        <w:t xml:space="preserve"> Клинические симптомы пир</w:t>
      </w:r>
      <w:r>
        <w:rPr>
          <w:szCs w:val="26"/>
        </w:rPr>
        <w:t>о</w:t>
      </w:r>
      <w:r>
        <w:rPr>
          <w:szCs w:val="26"/>
        </w:rPr>
        <w:t>фосфатной артропатии обусловлены сочетанием двух патологических процессов: микрокристаллического синовита и дегенеративных изменений внутрисуставного хряща.</w:t>
      </w:r>
    </w:p>
    <w:p w:rsidR="004813D2" w:rsidRDefault="004813D2">
      <w:pPr>
        <w:rPr>
          <w:szCs w:val="26"/>
        </w:rPr>
      </w:pPr>
      <w:r>
        <w:rPr>
          <w:szCs w:val="26"/>
        </w:rPr>
        <w:t>Заболевание характеризуется внезапным приступообразным началом. Чаще пор</w:t>
      </w:r>
      <w:r>
        <w:rPr>
          <w:szCs w:val="26"/>
        </w:rPr>
        <w:t>а</w:t>
      </w:r>
      <w:r>
        <w:rPr>
          <w:szCs w:val="26"/>
        </w:rPr>
        <w:t>жаются один или небольшое количество различных суставов, но обычно коле</w:t>
      </w:r>
      <w:r>
        <w:rPr>
          <w:szCs w:val="26"/>
        </w:rPr>
        <w:t>н</w:t>
      </w:r>
      <w:r>
        <w:rPr>
          <w:szCs w:val="26"/>
        </w:rPr>
        <w:t>ные, лучезапястные. Голеностопные, локтевые, плечевые суставы, редко первые плюсн</w:t>
      </w:r>
      <w:r>
        <w:rPr>
          <w:szCs w:val="26"/>
        </w:rPr>
        <w:t>е</w:t>
      </w:r>
      <w:r>
        <w:rPr>
          <w:szCs w:val="26"/>
        </w:rPr>
        <w:t>фаланговые суставы.</w:t>
      </w:r>
    </w:p>
    <w:p w:rsidR="004813D2" w:rsidRDefault="004813D2">
      <w:pPr>
        <w:rPr>
          <w:szCs w:val="26"/>
        </w:rPr>
      </w:pPr>
      <w:r>
        <w:rPr>
          <w:szCs w:val="26"/>
        </w:rPr>
        <w:t>Клинически проявляется  резкими болями, выраженной отечностью и покраснен</w:t>
      </w:r>
      <w:r>
        <w:rPr>
          <w:szCs w:val="26"/>
        </w:rPr>
        <w:t>и</w:t>
      </w:r>
      <w:r>
        <w:rPr>
          <w:szCs w:val="26"/>
        </w:rPr>
        <w:t>ем кожи в области сустава, ограничением движений, при этом часто повышается о</w:t>
      </w:r>
      <w:r>
        <w:rPr>
          <w:szCs w:val="26"/>
        </w:rPr>
        <w:t>б</w:t>
      </w:r>
      <w:r>
        <w:rPr>
          <w:szCs w:val="26"/>
        </w:rPr>
        <w:t>щая температура тела. Артрит может продолжаться от 7 до 50 дней, при этом суста</w:t>
      </w:r>
      <w:r>
        <w:rPr>
          <w:szCs w:val="26"/>
        </w:rPr>
        <w:t>в</w:t>
      </w:r>
      <w:r>
        <w:rPr>
          <w:szCs w:val="26"/>
        </w:rPr>
        <w:t>ные проявления не сильно выражены. На рентгеновских снимках имеется обызвест</w:t>
      </w:r>
      <w:r>
        <w:rPr>
          <w:szCs w:val="26"/>
        </w:rPr>
        <w:t>в</w:t>
      </w:r>
      <w:r>
        <w:rPr>
          <w:szCs w:val="26"/>
        </w:rPr>
        <w:t>ление фиброзных и хрящевых структур суставов, при пункции суставной полости о</w:t>
      </w:r>
      <w:r>
        <w:rPr>
          <w:szCs w:val="26"/>
        </w:rPr>
        <w:t>б</w:t>
      </w:r>
      <w:r>
        <w:rPr>
          <w:szCs w:val="26"/>
        </w:rPr>
        <w:t>наруживаются кристаллы п</w:t>
      </w:r>
      <w:r>
        <w:rPr>
          <w:szCs w:val="26"/>
        </w:rPr>
        <w:t>и</w:t>
      </w:r>
      <w:r>
        <w:rPr>
          <w:szCs w:val="26"/>
        </w:rPr>
        <w:t>рофосфата кальция. Мочевая кислота повышена в 24% случаев.</w:t>
      </w:r>
    </w:p>
    <w:p w:rsidR="004813D2" w:rsidRDefault="004813D2">
      <w:pPr>
        <w:rPr>
          <w:szCs w:val="26"/>
        </w:rPr>
      </w:pPr>
      <w:r>
        <w:rPr>
          <w:szCs w:val="26"/>
        </w:rPr>
        <w:t>Это заболевание наиболее сложно для дифференциальной диагностики, клинич</w:t>
      </w:r>
      <w:r>
        <w:rPr>
          <w:szCs w:val="26"/>
        </w:rPr>
        <w:t>е</w:t>
      </w:r>
      <w:r>
        <w:rPr>
          <w:szCs w:val="26"/>
        </w:rPr>
        <w:t>ская картина пирофосфатной артропатии может быть сходной с клиникой подагры, для более установки точного диагноза необходимо выполненние пункции пораже</w:t>
      </w:r>
      <w:r>
        <w:rPr>
          <w:szCs w:val="26"/>
        </w:rPr>
        <w:t>н</w:t>
      </w:r>
      <w:r>
        <w:rPr>
          <w:szCs w:val="26"/>
        </w:rPr>
        <w:t>ных суставов, на выявления солей пирофосфата. Но по рентгенологическим исслед</w:t>
      </w:r>
      <w:r>
        <w:rPr>
          <w:szCs w:val="26"/>
        </w:rPr>
        <w:t>о</w:t>
      </w:r>
      <w:r>
        <w:rPr>
          <w:szCs w:val="26"/>
        </w:rPr>
        <w:t>ваниям у нашего больного отсутствует обызвествление суставных структур, что по</w:t>
      </w:r>
      <w:r>
        <w:rPr>
          <w:szCs w:val="26"/>
        </w:rPr>
        <w:t>з</w:t>
      </w:r>
      <w:r>
        <w:rPr>
          <w:szCs w:val="26"/>
        </w:rPr>
        <w:t>воляет исключить и хондрокальциноз из дифференциал</w:t>
      </w:r>
      <w:r>
        <w:rPr>
          <w:szCs w:val="26"/>
        </w:rPr>
        <w:t>ь</w:t>
      </w:r>
      <w:r>
        <w:rPr>
          <w:szCs w:val="26"/>
        </w:rPr>
        <w:t xml:space="preserve">ного ряда. </w:t>
      </w:r>
    </w:p>
    <w:p w:rsidR="004813D2" w:rsidRDefault="004813D2">
      <w:pPr>
        <w:rPr>
          <w:szCs w:val="26"/>
        </w:rPr>
      </w:pPr>
      <w:r>
        <w:rPr>
          <w:b/>
          <w:i/>
          <w:szCs w:val="26"/>
          <w:u w:val="single"/>
        </w:rPr>
        <w:t>Реактивный артрит</w:t>
      </w:r>
      <w:r>
        <w:rPr>
          <w:szCs w:val="26"/>
        </w:rPr>
        <w:t xml:space="preserve"> развивается после определенных инфекций (чаще всего м</w:t>
      </w:r>
      <w:r>
        <w:rPr>
          <w:szCs w:val="26"/>
        </w:rPr>
        <w:t>о</w:t>
      </w:r>
      <w:r>
        <w:rPr>
          <w:szCs w:val="26"/>
        </w:rPr>
        <w:t>чеполового или кишечного тракта) в течение 2-6 недель после  стихания его ос</w:t>
      </w:r>
      <w:r>
        <w:rPr>
          <w:szCs w:val="26"/>
        </w:rPr>
        <w:t>т</w:t>
      </w:r>
      <w:r>
        <w:rPr>
          <w:szCs w:val="26"/>
        </w:rPr>
        <w:t>рых проявлений. Характерной особенностью реактивных артритов являются асимметри</w:t>
      </w:r>
      <w:r>
        <w:rPr>
          <w:szCs w:val="26"/>
        </w:rPr>
        <w:t>ч</w:t>
      </w:r>
      <w:r>
        <w:rPr>
          <w:szCs w:val="26"/>
        </w:rPr>
        <w:t>ный воспалительный олигоартрит с преимущественным поражением суставов ни</w:t>
      </w:r>
      <w:r>
        <w:rPr>
          <w:szCs w:val="26"/>
        </w:rPr>
        <w:t>ж</w:t>
      </w:r>
      <w:r>
        <w:rPr>
          <w:szCs w:val="26"/>
        </w:rPr>
        <w:t>них конечностей, спондилит, энтезопатии, тенинит, тендосиновит, остеит, пор</w:t>
      </w:r>
      <w:r>
        <w:rPr>
          <w:szCs w:val="26"/>
        </w:rPr>
        <w:t>а</w:t>
      </w:r>
      <w:r>
        <w:rPr>
          <w:szCs w:val="26"/>
        </w:rPr>
        <w:t>жение слизистых оболочек. Начало артрита острое – припухлость, гипе</w:t>
      </w:r>
      <w:r>
        <w:rPr>
          <w:szCs w:val="26"/>
        </w:rPr>
        <w:t>р</w:t>
      </w:r>
      <w:r>
        <w:rPr>
          <w:szCs w:val="26"/>
        </w:rPr>
        <w:t>термия кожи над суставом, болезненность суставов. Поражение суставов ассиметричное. Хара</w:t>
      </w:r>
      <w:r>
        <w:rPr>
          <w:szCs w:val="26"/>
        </w:rPr>
        <w:t>к</w:t>
      </w:r>
      <w:r>
        <w:rPr>
          <w:szCs w:val="26"/>
        </w:rPr>
        <w:t>терно развитие энтезитов и/или тендосиновитов с выраженным болевым синдромом, з</w:t>
      </w:r>
      <w:r>
        <w:rPr>
          <w:szCs w:val="26"/>
        </w:rPr>
        <w:t>а</w:t>
      </w:r>
      <w:r>
        <w:rPr>
          <w:szCs w:val="26"/>
        </w:rPr>
        <w:t>трудняющим ходьбу. Часто возникают безболезненные эрозии слизистой об</w:t>
      </w:r>
      <w:r>
        <w:rPr>
          <w:szCs w:val="26"/>
        </w:rPr>
        <w:t>о</w:t>
      </w:r>
      <w:r>
        <w:rPr>
          <w:szCs w:val="26"/>
        </w:rPr>
        <w:t>лочки полости рта, половых органов, кератодермия и ониходис</w:t>
      </w:r>
      <w:r>
        <w:rPr>
          <w:szCs w:val="26"/>
        </w:rPr>
        <w:t>т</w:t>
      </w:r>
      <w:r>
        <w:rPr>
          <w:szCs w:val="26"/>
        </w:rPr>
        <w:t>рофии.</w:t>
      </w:r>
    </w:p>
    <w:p w:rsidR="004813D2" w:rsidRDefault="004813D2">
      <w:pPr>
        <w:rPr>
          <w:szCs w:val="26"/>
        </w:rPr>
      </w:pPr>
      <w:r>
        <w:rPr>
          <w:szCs w:val="26"/>
        </w:rPr>
        <w:t>У нашего больного мы не находим ни одного признака. Что также позволяет и</w:t>
      </w:r>
      <w:r>
        <w:rPr>
          <w:szCs w:val="26"/>
        </w:rPr>
        <w:t>с</w:t>
      </w:r>
      <w:r>
        <w:rPr>
          <w:szCs w:val="26"/>
        </w:rPr>
        <w:t>ключить реактивный артрит из дифференциал</w:t>
      </w:r>
      <w:r>
        <w:rPr>
          <w:szCs w:val="26"/>
        </w:rPr>
        <w:t>ь</w:t>
      </w:r>
      <w:r>
        <w:rPr>
          <w:szCs w:val="26"/>
        </w:rPr>
        <w:t xml:space="preserve">ного ряда. </w:t>
      </w:r>
    </w:p>
    <w:p w:rsidR="004813D2" w:rsidRDefault="004813D2">
      <w:r>
        <w:rPr>
          <w:b/>
          <w:i/>
          <w:u w:val="single"/>
        </w:rPr>
        <w:t xml:space="preserve">Остеоартроз </w:t>
      </w:r>
      <w:r>
        <w:rPr>
          <w:b/>
          <w:i/>
          <w:u w:val="single"/>
          <w:lang w:val="en-US"/>
        </w:rPr>
        <w:t>I</w:t>
      </w:r>
      <w:r>
        <w:rPr>
          <w:b/>
          <w:i/>
          <w:u w:val="single"/>
        </w:rPr>
        <w:t xml:space="preserve"> плюснефалангового сустава</w:t>
      </w:r>
      <w:r>
        <w:rPr>
          <w:b/>
        </w:rPr>
        <w:t>.</w:t>
      </w:r>
      <w:r>
        <w:t xml:space="preserve"> Деформирующий остеоартроз да</w:t>
      </w:r>
      <w:r>
        <w:t>н</w:t>
      </w:r>
      <w:r>
        <w:t>ной локализации встречается часто, сочетаясь с плоскостопием, нарушением жиров</w:t>
      </w:r>
      <w:r>
        <w:t>о</w:t>
      </w:r>
      <w:r>
        <w:t>го обмена, варикозном расширении вен нижних конечностей и проявл</w:t>
      </w:r>
      <w:r>
        <w:t>я</w:t>
      </w:r>
      <w:r>
        <w:t>ется болями при ходьбе, развитием остеофитов в области эпифиза плюсневой кости, постепенным искривлением большого пальца стопы. При повторной травматизации сустава (дл</w:t>
      </w:r>
      <w:r>
        <w:t>и</w:t>
      </w:r>
      <w:r>
        <w:t xml:space="preserve">тельная ходьба, ношение узкой обуви) может развиться реактивный синовит </w:t>
      </w:r>
      <w:r>
        <w:rPr>
          <w:lang w:val="en-US"/>
        </w:rPr>
        <w:t>I</w:t>
      </w:r>
      <w:r>
        <w:t xml:space="preserve"> плюснефалангового сустава и воспаление периартикулярных тканей. Чаще бывает двуст</w:t>
      </w:r>
      <w:r>
        <w:t>о</w:t>
      </w:r>
      <w:r>
        <w:t>ронним. В клинике признаки воспаления развиваются постепенно и выражены умеренно – слабый отек и небольшая гиперемия. Боли не резкие, нет нарушения о</w:t>
      </w:r>
      <w:r>
        <w:t>б</w:t>
      </w:r>
      <w:r>
        <w:t>щего состояния, острофазовые признаки воспаления отсутствуют, температура тела не повышается. Ограничение подвижности большого пальца стопы, отклонение пал</w:t>
      </w:r>
      <w:r>
        <w:t>ь</w:t>
      </w:r>
      <w:r>
        <w:t>ца в наружную сторону, деформация сустава за счет остеофитов. На рентгенограмме признаки остеоартроза (сужение суставной щели, кисты, субхондральный остеоскл</w:t>
      </w:r>
      <w:r>
        <w:t>е</w:t>
      </w:r>
      <w:r>
        <w:t>роз, подвывих головки первой плюсневой кости). Узелки Гебердена – плотные, обы</w:t>
      </w:r>
      <w:r>
        <w:t>ч</w:t>
      </w:r>
      <w:r>
        <w:t>но симметричные узловатые утолщения в области дистальных межфаланговых суст</w:t>
      </w:r>
      <w:r>
        <w:t>а</w:t>
      </w:r>
      <w:r>
        <w:t>вов, иногда безболезненные при пал</w:t>
      </w:r>
      <w:r>
        <w:t>ь</w:t>
      </w:r>
      <w:r>
        <w:t>пации.</w:t>
      </w:r>
    </w:p>
    <w:p w:rsidR="004813D2" w:rsidRDefault="004813D2">
      <w:r>
        <w:t>В нашем случае имело место повышение острофазовых показателей (СОЭ, СРБ, фибриноген и др.), острое начало артрита, воспалительный характер боли и измен</w:t>
      </w:r>
      <w:r>
        <w:t>е</w:t>
      </w:r>
      <w:r>
        <w:t xml:space="preserve">ний в суставе. Все это позволяет исключить остеоартроз </w:t>
      </w:r>
      <w:r>
        <w:rPr>
          <w:lang w:val="en-US"/>
        </w:rPr>
        <w:t>I</w:t>
      </w:r>
      <w:r>
        <w:t xml:space="preserve"> плюснефалангового суст</w:t>
      </w:r>
      <w:r>
        <w:t>а</w:t>
      </w:r>
      <w:r>
        <w:t>ва.</w:t>
      </w:r>
    </w:p>
    <w:p w:rsidR="004813D2" w:rsidRDefault="004813D2">
      <w:pPr>
        <w:rPr>
          <w:szCs w:val="26"/>
        </w:rPr>
      </w:pPr>
      <w:r>
        <w:rPr>
          <w:b/>
          <w:i/>
          <w:szCs w:val="26"/>
          <w:u w:val="single"/>
        </w:rPr>
        <w:t>Подагрический артрит.</w:t>
      </w:r>
      <w:r>
        <w:rPr>
          <w:szCs w:val="26"/>
        </w:rPr>
        <w:t xml:space="preserve"> Для подагрического артрита характерно ре</w:t>
      </w:r>
      <w:r>
        <w:rPr>
          <w:szCs w:val="26"/>
        </w:rPr>
        <w:t>з</w:t>
      </w:r>
      <w:r>
        <w:rPr>
          <w:szCs w:val="26"/>
        </w:rPr>
        <w:t>кое(развивается за несколько часов), острое развитие признаков воспаления суст</w:t>
      </w:r>
      <w:r>
        <w:rPr>
          <w:szCs w:val="26"/>
        </w:rPr>
        <w:t>а</w:t>
      </w:r>
      <w:r>
        <w:rPr>
          <w:szCs w:val="26"/>
        </w:rPr>
        <w:t>вов(моно/олигоартрит). Артрит проявляется на фоне полного здоровья и благопол</w:t>
      </w:r>
      <w:r>
        <w:rPr>
          <w:szCs w:val="26"/>
        </w:rPr>
        <w:t>у</w:t>
      </w:r>
      <w:r>
        <w:rPr>
          <w:szCs w:val="26"/>
        </w:rPr>
        <w:t>чия. В 75% случаев артрит локализуется в первых плюснефаланговых суставах стоп (в 25% имеет другую локализацию). Имеет типичную воспалительную картину: гип</w:t>
      </w:r>
      <w:r>
        <w:rPr>
          <w:szCs w:val="26"/>
        </w:rPr>
        <w:t>е</w:t>
      </w:r>
      <w:r>
        <w:rPr>
          <w:szCs w:val="26"/>
        </w:rPr>
        <w:t>ремия кожных покровов, отек пораженных суставов(может отекать и вся стопа), ре</w:t>
      </w:r>
      <w:r>
        <w:rPr>
          <w:szCs w:val="26"/>
        </w:rPr>
        <w:t>з</w:t>
      </w:r>
      <w:r>
        <w:rPr>
          <w:szCs w:val="26"/>
        </w:rPr>
        <w:t>кая интенсивная боль и нарушение функции сустава. Боли появляются или усилив</w:t>
      </w:r>
      <w:r>
        <w:rPr>
          <w:szCs w:val="26"/>
        </w:rPr>
        <w:t>а</w:t>
      </w:r>
      <w:r>
        <w:rPr>
          <w:szCs w:val="26"/>
        </w:rPr>
        <w:t>ются чаще в вечернее, ночное время. Артрит держится 2-3 дня и стихает, полное ра</w:t>
      </w:r>
      <w:r>
        <w:rPr>
          <w:szCs w:val="26"/>
        </w:rPr>
        <w:t>з</w:t>
      </w:r>
      <w:r>
        <w:rPr>
          <w:szCs w:val="26"/>
        </w:rPr>
        <w:t>решение наступает через 1-2 неделю. Приступы сменяются межприступными пери</w:t>
      </w:r>
      <w:r>
        <w:rPr>
          <w:szCs w:val="26"/>
        </w:rPr>
        <w:t>о</w:t>
      </w:r>
      <w:r>
        <w:rPr>
          <w:szCs w:val="26"/>
        </w:rPr>
        <w:t>дами, которые характеризуются отсутствием каких либо суставных проявлений.</w:t>
      </w:r>
    </w:p>
    <w:p w:rsidR="004813D2" w:rsidRDefault="004813D2">
      <w:pPr>
        <w:rPr>
          <w:szCs w:val="26"/>
        </w:rPr>
      </w:pPr>
      <w:r>
        <w:rPr>
          <w:szCs w:val="26"/>
        </w:rPr>
        <w:t>Диагностические критерии подагрического артрита: урикемия (муж. &gt; 0.45) нал</w:t>
      </w:r>
      <w:r>
        <w:rPr>
          <w:szCs w:val="26"/>
        </w:rPr>
        <w:t>и</w:t>
      </w:r>
      <w:r>
        <w:rPr>
          <w:szCs w:val="26"/>
        </w:rPr>
        <w:t>чие подкожных или внутрикостных тофусов, наличие кристаллов уратов в синов</w:t>
      </w:r>
      <w:r>
        <w:rPr>
          <w:szCs w:val="26"/>
        </w:rPr>
        <w:t>и</w:t>
      </w:r>
      <w:r>
        <w:rPr>
          <w:szCs w:val="26"/>
        </w:rPr>
        <w:t>альной жидкости и клиническая картина острого подагрического артрита.</w:t>
      </w:r>
    </w:p>
    <w:p w:rsidR="004813D2" w:rsidRDefault="004813D2">
      <w:pPr>
        <w:rPr>
          <w:szCs w:val="26"/>
        </w:rPr>
      </w:pPr>
      <w:r>
        <w:rPr>
          <w:szCs w:val="26"/>
        </w:rPr>
        <w:t>Клиническая картина подагрического артрита  подходит к клинике артрита нашего пациента. Следовательно, окончательный диагноз – Хроническая подагра: хронич</w:t>
      </w:r>
      <w:r>
        <w:rPr>
          <w:szCs w:val="26"/>
        </w:rPr>
        <w:t>е</w:t>
      </w:r>
      <w:r>
        <w:rPr>
          <w:szCs w:val="26"/>
        </w:rPr>
        <w:t>ский подагрический артрит. Фаза обострения. Внутрикостные тоф</w:t>
      </w:r>
      <w:r>
        <w:rPr>
          <w:szCs w:val="26"/>
        </w:rPr>
        <w:t>у</w:t>
      </w:r>
      <w:r>
        <w:rPr>
          <w:szCs w:val="26"/>
        </w:rPr>
        <w:t>сы.</w:t>
      </w:r>
    </w:p>
    <w:p w:rsidR="004813D2" w:rsidRDefault="004813D2">
      <w:pPr>
        <w:rPr>
          <w:color w:val="333333"/>
        </w:rPr>
      </w:pPr>
      <w:r>
        <w:t>На основании поставленного д</w:t>
      </w:r>
      <w:r>
        <w:t>и</w:t>
      </w:r>
      <w:r>
        <w:t>агноза было назначено лечение</w:t>
      </w:r>
      <w:r>
        <w:rPr>
          <w:color w:val="333333"/>
        </w:rPr>
        <w:t xml:space="preserve">: </w:t>
      </w:r>
      <w:r>
        <w:rPr>
          <w:bCs/>
          <w:szCs w:val="26"/>
        </w:rPr>
        <w:t>стол №6, обильное 2-2,5 л/сутки питье, медикаментозное лечение суставного синдрома и гипертонич</w:t>
      </w:r>
      <w:r>
        <w:rPr>
          <w:bCs/>
          <w:szCs w:val="26"/>
        </w:rPr>
        <w:t>е</w:t>
      </w:r>
      <w:r>
        <w:rPr>
          <w:bCs/>
          <w:szCs w:val="26"/>
        </w:rPr>
        <w:t>ской болезни.</w:t>
      </w:r>
    </w:p>
    <w:p w:rsidR="004813D2" w:rsidRDefault="004813D2">
      <w:r>
        <w:rPr>
          <w:color w:val="333333"/>
        </w:rPr>
        <w:t xml:space="preserve">Для купирования суставного синдрома было назначены НПВС – Диклофенак по </w:t>
      </w:r>
      <w:r>
        <w:rPr>
          <w:sz w:val="27"/>
          <w:szCs w:val="27"/>
        </w:rPr>
        <w:t xml:space="preserve">50 мг через 6 часов, после улучшения дозу снижают до 150 мг/сутки в три приема. </w:t>
      </w:r>
      <w:r>
        <w:rPr>
          <w:bCs/>
          <w:szCs w:val="26"/>
        </w:rPr>
        <w:t xml:space="preserve"> прием диклофенака проводился до купирования суставных симптомов: сн</w:t>
      </w:r>
      <w:r>
        <w:rPr>
          <w:bCs/>
          <w:szCs w:val="26"/>
        </w:rPr>
        <w:t>я</w:t>
      </w:r>
      <w:r>
        <w:rPr>
          <w:bCs/>
          <w:szCs w:val="26"/>
        </w:rPr>
        <w:t>тия боли в суставе, уменьшения отечности, локальной температуры.</w:t>
      </w:r>
    </w:p>
    <w:p w:rsidR="004813D2" w:rsidRDefault="004813D2">
      <w:pPr>
        <w:rPr>
          <w:bCs/>
          <w:szCs w:val="26"/>
        </w:rPr>
      </w:pPr>
      <w:r>
        <w:rPr>
          <w:bCs/>
          <w:szCs w:val="26"/>
        </w:rPr>
        <w:t>После снятия суставного синдрома была назначена поддерживающая терапия. Препараты выбора поддерживающей терапии – средства уменьшающие выр</w:t>
      </w:r>
      <w:r>
        <w:rPr>
          <w:bCs/>
          <w:szCs w:val="26"/>
        </w:rPr>
        <w:t>а</w:t>
      </w:r>
      <w:r>
        <w:rPr>
          <w:bCs/>
          <w:szCs w:val="26"/>
        </w:rPr>
        <w:t>ботку мочевой кислоты в организме – аллопуринол 200 мг/сут за один прием утром, дл</w:t>
      </w:r>
      <w:r>
        <w:rPr>
          <w:bCs/>
          <w:szCs w:val="26"/>
        </w:rPr>
        <w:t>и</w:t>
      </w:r>
      <w:r>
        <w:rPr>
          <w:bCs/>
          <w:szCs w:val="26"/>
        </w:rPr>
        <w:t>тельное вр</w:t>
      </w:r>
      <w:r>
        <w:rPr>
          <w:bCs/>
          <w:szCs w:val="26"/>
        </w:rPr>
        <w:t>е</w:t>
      </w:r>
      <w:r>
        <w:rPr>
          <w:bCs/>
          <w:szCs w:val="26"/>
        </w:rPr>
        <w:t xml:space="preserve">мя. </w:t>
      </w:r>
    </w:p>
    <w:p w:rsidR="004813D2" w:rsidRDefault="004813D2">
      <w:r>
        <w:t xml:space="preserve">Лечение гипертонической болезни: так как у больного </w:t>
      </w:r>
      <w:r>
        <w:rPr>
          <w:lang w:val="en-US"/>
        </w:rPr>
        <w:t>II</w:t>
      </w:r>
      <w:r>
        <w:t xml:space="preserve"> стадия и II степень гипертонической болезни и пациент раньше не принимал антигипертензивные преп</w:t>
      </w:r>
      <w:r>
        <w:t>а</w:t>
      </w:r>
      <w:r>
        <w:t>раты, то больному рационально назначение комбинированной антигипе</w:t>
      </w:r>
      <w:r>
        <w:t>р</w:t>
      </w:r>
      <w:r>
        <w:t xml:space="preserve">тензивной терапии – ингибиторы АПФ (каптоприл)  + диуретики(гипотиазид 12,5мг в сутки). Начальная доза  иАПФ 6,25 мг/сутки, затем доза увеличивается под контролем АД до 50 мг/сутки. Целевой уровень АД 130/84 мм. рт. ст. </w:t>
      </w:r>
    </w:p>
    <w:p w:rsidR="004813D2" w:rsidRDefault="004813D2">
      <w:pPr>
        <w:rPr>
          <w:bCs/>
          <w:szCs w:val="26"/>
        </w:rPr>
      </w:pPr>
      <w:r>
        <w:rPr>
          <w:bCs/>
          <w:szCs w:val="26"/>
        </w:rPr>
        <w:t>В результате курса лечения состояние больного улучшилось(болевые ощущения в суставах исчезли, отечность стоп и плюснефаланговых суставов приняла минимал</w:t>
      </w:r>
      <w:r>
        <w:rPr>
          <w:bCs/>
          <w:szCs w:val="26"/>
        </w:rPr>
        <w:t>ь</w:t>
      </w:r>
      <w:r>
        <w:rPr>
          <w:bCs/>
          <w:szCs w:val="26"/>
        </w:rPr>
        <w:t>ный характер), и он был выписан  1.04.2003 с р</w:t>
      </w:r>
      <w:r>
        <w:rPr>
          <w:bCs/>
          <w:szCs w:val="26"/>
        </w:rPr>
        <w:t>е</w:t>
      </w:r>
      <w:r>
        <w:rPr>
          <w:bCs/>
          <w:szCs w:val="26"/>
        </w:rPr>
        <w:t xml:space="preserve">комендациями: 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>Режим: создание благоприятной психоэмоциональной обстановки на работе и дома, борьбу с гиподинамией, ведение активного образа жи</w:t>
      </w:r>
      <w:r>
        <w:rPr>
          <w:bCs/>
          <w:szCs w:val="26"/>
        </w:rPr>
        <w:t>з</w:t>
      </w:r>
      <w:r>
        <w:rPr>
          <w:bCs/>
          <w:szCs w:val="26"/>
        </w:rPr>
        <w:t>ни.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>Нормализация массы тела: является обязательным важнейшим мероприятием, т.к. способствует снижению уровня мочевой кислоты в крови.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>Исключение алкоголя: запрещается употреблять, т.к. возникающая после этого г</w:t>
      </w:r>
      <w:r>
        <w:rPr>
          <w:bCs/>
          <w:szCs w:val="26"/>
        </w:rPr>
        <w:t>и</w:t>
      </w:r>
      <w:r>
        <w:rPr>
          <w:bCs/>
          <w:szCs w:val="26"/>
        </w:rPr>
        <w:t>перлактацидемия тормозит почечную экскрецию уратов.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 xml:space="preserve">Диета №6: исключение продуктов, содержащих большое количество пуринов, ограничение </w:t>
      </w:r>
      <w:r>
        <w:rPr>
          <w:bCs/>
          <w:szCs w:val="26"/>
          <w:lang w:val="en-US"/>
        </w:rPr>
        <w:t>N</w:t>
      </w:r>
      <w:r>
        <w:rPr>
          <w:bCs/>
          <w:szCs w:val="26"/>
        </w:rPr>
        <w:t>а, жира, достаточное количество витаминов, количество пур</w:t>
      </w:r>
      <w:r>
        <w:rPr>
          <w:bCs/>
          <w:szCs w:val="26"/>
        </w:rPr>
        <w:t>и</w:t>
      </w:r>
      <w:r>
        <w:rPr>
          <w:bCs/>
          <w:szCs w:val="26"/>
        </w:rPr>
        <w:t>нов 200мкг, соли 5-6 г. В диету включаются щелочные минеральные воды и цитр</w:t>
      </w:r>
      <w:r>
        <w:rPr>
          <w:bCs/>
          <w:szCs w:val="26"/>
        </w:rPr>
        <w:t>у</w:t>
      </w:r>
      <w:r>
        <w:rPr>
          <w:bCs/>
          <w:szCs w:val="26"/>
        </w:rPr>
        <w:t>совые для усиления выведения из организма уратов. Овощи и фрукты употре</w:t>
      </w:r>
      <w:r>
        <w:rPr>
          <w:bCs/>
          <w:szCs w:val="26"/>
        </w:rPr>
        <w:t>б</w:t>
      </w:r>
      <w:r>
        <w:rPr>
          <w:bCs/>
          <w:szCs w:val="26"/>
        </w:rPr>
        <w:t xml:space="preserve">ляются сырыми, в вареном или запеченом виде. </w:t>
      </w:r>
      <w:r>
        <w:rPr>
          <w:bCs/>
          <w:sz w:val="24"/>
        </w:rPr>
        <w:t>Ограничивать: бобовые, шп</w:t>
      </w:r>
      <w:r>
        <w:rPr>
          <w:bCs/>
          <w:sz w:val="24"/>
        </w:rPr>
        <w:t>и</w:t>
      </w:r>
      <w:r>
        <w:rPr>
          <w:bCs/>
          <w:sz w:val="24"/>
        </w:rPr>
        <w:t>нат, цветную капусту, грибы,  крепкий кофе и чай</w:t>
      </w:r>
      <w:r>
        <w:rPr>
          <w:bCs/>
          <w:szCs w:val="26"/>
        </w:rPr>
        <w:t xml:space="preserve"> Из рациона исключаются мясные и рыбные отвары, экстракты, супы, жирные сорта мяса и рыбы, мясо молодых животных, внутренние органы животных и птиц. Мясо и рыба даются не чаще 2 раза в неделю, только в отва</w:t>
      </w:r>
      <w:r>
        <w:rPr>
          <w:bCs/>
          <w:szCs w:val="26"/>
        </w:rPr>
        <w:t>р</w:t>
      </w:r>
      <w:r>
        <w:rPr>
          <w:bCs/>
          <w:szCs w:val="26"/>
        </w:rPr>
        <w:t xml:space="preserve">ном виде. 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>Жидкость рекомендуется принимать в виде чая, клюквенного морса, соков, щелочных минеральных вод. Режим питания дробный, 5-6 раз в день небол</w:t>
      </w:r>
      <w:r>
        <w:rPr>
          <w:bCs/>
          <w:szCs w:val="26"/>
        </w:rPr>
        <w:t>ь</w:t>
      </w:r>
      <w:r>
        <w:rPr>
          <w:bCs/>
          <w:szCs w:val="26"/>
        </w:rPr>
        <w:t>шими порциями, в промежутках между приемами пищи – питье. Рекомендую</w:t>
      </w:r>
      <w:r>
        <w:rPr>
          <w:bCs/>
          <w:szCs w:val="26"/>
        </w:rPr>
        <w:t>т</w:t>
      </w:r>
      <w:r>
        <w:rPr>
          <w:bCs/>
          <w:szCs w:val="26"/>
        </w:rPr>
        <w:t>ся разгрузочные дни 1-2 раза в неделю. Не рекомендуется полное голодание, так как оно уже в первые дни приводит к увеличению урик</w:t>
      </w:r>
      <w:r>
        <w:rPr>
          <w:bCs/>
          <w:szCs w:val="26"/>
        </w:rPr>
        <w:t>е</w:t>
      </w:r>
      <w:r>
        <w:rPr>
          <w:bCs/>
          <w:szCs w:val="26"/>
        </w:rPr>
        <w:t>мии.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>Постоянный прием поддерживающей терапии аллопуринолом(200 мг сут х 1 р/д).</w:t>
      </w:r>
    </w:p>
    <w:p w:rsidR="004813D2" w:rsidRDefault="004813D2" w:rsidP="00FA34EF">
      <w:pPr>
        <w:numPr>
          <w:ilvl w:val="0"/>
          <w:numId w:val="11"/>
        </w:numPr>
        <w:rPr>
          <w:bCs/>
          <w:szCs w:val="26"/>
        </w:rPr>
      </w:pPr>
      <w:r>
        <w:rPr>
          <w:bCs/>
          <w:szCs w:val="26"/>
        </w:rPr>
        <w:t xml:space="preserve">Контроль АД и постоянный прием антигипертензивных препаратов: </w:t>
      </w:r>
      <w:r>
        <w:t>капт</w:t>
      </w:r>
      <w:r>
        <w:t>о</w:t>
      </w:r>
      <w:r>
        <w:t>прил 50 мг/сут  + гипотиазид 12,5мг в сутки.</w:t>
      </w:r>
    </w:p>
    <w:p w:rsidR="004813D2" w:rsidRDefault="004813D2">
      <w:pPr>
        <w:rPr>
          <w:bCs/>
          <w:szCs w:val="26"/>
        </w:rPr>
      </w:pPr>
      <w:r>
        <w:rPr>
          <w:bCs/>
          <w:szCs w:val="26"/>
        </w:rPr>
        <w:t xml:space="preserve">Прогноз для данного заболевания неблагоприятный, т.к. заболевание в настоящее время неизлечимо, но при условии соблюдения полученных рекомендаций возможно достижение максимальной ремиссии. Трудоспособность во время приступов острого артрита снижена. </w:t>
      </w:r>
    </w:p>
    <w:p w:rsidR="004813D2" w:rsidRDefault="004813D2">
      <w:pPr>
        <w:jc w:val="left"/>
        <w:rPr>
          <w:bCs/>
          <w:szCs w:val="26"/>
        </w:rPr>
      </w:pPr>
      <w:r>
        <w:rPr>
          <w:bCs/>
          <w:szCs w:val="26"/>
        </w:rPr>
        <w:t xml:space="preserve">Прогноз по развитию осложнений неблагоприятный: </w:t>
      </w:r>
    </w:p>
    <w:p w:rsidR="004813D2" w:rsidRDefault="004813D2" w:rsidP="00FA34EF">
      <w:pPr>
        <w:numPr>
          <w:ilvl w:val="0"/>
          <w:numId w:val="8"/>
        </w:numPr>
        <w:jc w:val="left"/>
      </w:pPr>
      <w:r>
        <w:rPr>
          <w:bCs/>
          <w:szCs w:val="26"/>
        </w:rPr>
        <w:t>поражение почек с последующим развитием хронической почечной недост</w:t>
      </w:r>
      <w:r>
        <w:rPr>
          <w:bCs/>
          <w:szCs w:val="26"/>
        </w:rPr>
        <w:t>а</w:t>
      </w:r>
      <w:r>
        <w:rPr>
          <w:bCs/>
          <w:szCs w:val="26"/>
        </w:rPr>
        <w:t>точности</w:t>
      </w:r>
      <w:r>
        <w:t>;</w:t>
      </w:r>
    </w:p>
    <w:p w:rsidR="004813D2" w:rsidRDefault="004813D2" w:rsidP="00FA34EF">
      <w:pPr>
        <w:numPr>
          <w:ilvl w:val="0"/>
          <w:numId w:val="8"/>
        </w:numPr>
        <w:jc w:val="left"/>
      </w:pPr>
      <w:r>
        <w:t>поражение желудка – при длительном приеме НПВС возможно разв</w:t>
      </w:r>
      <w:r>
        <w:t>и</w:t>
      </w:r>
      <w:r>
        <w:t>тие язв и эрозий, которые могут являться источниками кровотечений;</w:t>
      </w:r>
    </w:p>
    <w:p w:rsidR="004813D2" w:rsidRDefault="004813D2" w:rsidP="00FA34EF">
      <w:pPr>
        <w:numPr>
          <w:ilvl w:val="0"/>
          <w:numId w:val="8"/>
        </w:numPr>
        <w:jc w:val="left"/>
      </w:pPr>
      <w:r>
        <w:t>риск развитии осложнений гипертонической болезни(инсульт головного мозга, инфаркт миокарда)</w:t>
      </w:r>
    </w:p>
    <w:p w:rsidR="004813D2" w:rsidRDefault="004813D2">
      <w:pPr>
        <w:ind w:firstLine="0"/>
        <w:jc w:val="left"/>
        <w:rPr>
          <w:szCs w:val="26"/>
        </w:rPr>
      </w:pPr>
      <w:r>
        <w:br/>
        <w:t>Подпись куратора:</w:t>
      </w:r>
    </w:p>
    <w:sectPr w:rsidR="004813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83" w:rsidRDefault="00367F83">
      <w:r>
        <w:separator/>
      </w:r>
    </w:p>
  </w:endnote>
  <w:endnote w:type="continuationSeparator" w:id="0">
    <w:p w:rsidR="00367F83" w:rsidRDefault="0036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D2" w:rsidRDefault="004813D2">
    <w:pPr>
      <w:jc w:val="center"/>
      <w:rPr>
        <w:sz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D2" w:rsidRDefault="004813D2">
    <w:pPr>
      <w:jc w:val="center"/>
      <w:rPr>
        <w:sz w:val="32"/>
        <w:szCs w:val="32"/>
      </w:rPr>
    </w:pPr>
    <w:r>
      <w:rPr>
        <w:sz w:val="32"/>
        <w:szCs w:val="32"/>
      </w:rPr>
      <w:t>Томск - 2003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83" w:rsidRDefault="00367F83">
      <w:r>
        <w:separator/>
      </w:r>
    </w:p>
  </w:footnote>
  <w:footnote w:type="continuationSeparator" w:id="0">
    <w:p w:rsidR="00367F83" w:rsidRDefault="0036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D2" w:rsidRDefault="004813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13D2" w:rsidRDefault="004813D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D2" w:rsidRDefault="00481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AEA">
      <w:rPr>
        <w:rStyle w:val="a4"/>
        <w:noProof/>
      </w:rPr>
      <w:t>2</w:t>
    </w:r>
    <w:r>
      <w:rPr>
        <w:rStyle w:val="a4"/>
      </w:rPr>
      <w:fldChar w:fldCharType="end"/>
    </w:r>
  </w:p>
  <w:p w:rsidR="004813D2" w:rsidRDefault="004813D2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D2" w:rsidRDefault="004813D2">
    <w:pPr>
      <w:jc w:val="center"/>
      <w:rPr>
        <w:sz w:val="38"/>
      </w:rPr>
    </w:pPr>
    <w:r>
      <w:rPr>
        <w:sz w:val="38"/>
      </w:rPr>
      <w:t>Министерство здравоохранения Российской Федер</w:t>
    </w:r>
    <w:r>
      <w:rPr>
        <w:sz w:val="38"/>
      </w:rPr>
      <w:t>а</w:t>
    </w:r>
    <w:r>
      <w:rPr>
        <w:sz w:val="38"/>
      </w:rPr>
      <w:t>ции</w:t>
    </w:r>
  </w:p>
  <w:p w:rsidR="004813D2" w:rsidRDefault="004813D2">
    <w:pPr>
      <w:pStyle w:val="4"/>
    </w:pPr>
    <w:r>
      <w:t>Сибирский государственный медицинский университет</w:t>
    </w:r>
  </w:p>
  <w:p w:rsidR="004813D2" w:rsidRDefault="004813D2">
    <w:pPr>
      <w:jc w:val="center"/>
      <w:rPr>
        <w:bCs/>
        <w:sz w:val="30"/>
        <w:szCs w:val="30"/>
      </w:rPr>
    </w:pPr>
    <w:r>
      <w:rPr>
        <w:bCs/>
        <w:sz w:val="30"/>
        <w:szCs w:val="30"/>
      </w:rPr>
      <w:t>(ректор – член-корр. РАМН, профессор В.В.Новицкий)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pt;height:11pt" o:bullet="t">
        <v:imagedata r:id="rId1" o:title="mso92"/>
      </v:shape>
    </w:pict>
  </w:numPicBullet>
  <w:abstractNum w:abstractNumId="0">
    <w:nsid w:val="025E0A8B"/>
    <w:multiLevelType w:val="hybridMultilevel"/>
    <w:tmpl w:val="BC5A8270"/>
    <w:lvl w:ilvl="0" w:tplc="A7DA057C">
      <w:start w:val="1"/>
      <w:numFmt w:val="decimal"/>
      <w:pStyle w:val="3"/>
      <w:lvlText w:val="%1."/>
      <w:lvlJc w:val="left"/>
      <w:pPr>
        <w:tabs>
          <w:tab w:val="num" w:pos="1004"/>
        </w:tabs>
        <w:ind w:left="-70" w:firstLine="7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28B1CAA"/>
    <w:multiLevelType w:val="hybridMultilevel"/>
    <w:tmpl w:val="1FF2D0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9B32AF1"/>
    <w:multiLevelType w:val="hybridMultilevel"/>
    <w:tmpl w:val="49AE28DC"/>
    <w:lvl w:ilvl="0" w:tplc="13A4BECC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">
    <w:nsid w:val="2B964AD1"/>
    <w:multiLevelType w:val="hybridMultilevel"/>
    <w:tmpl w:val="E72A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B35EF"/>
    <w:multiLevelType w:val="hybridMultilevel"/>
    <w:tmpl w:val="A782C09E"/>
    <w:lvl w:ilvl="0" w:tplc="13A4BEC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96F7BE2"/>
    <w:multiLevelType w:val="hybridMultilevel"/>
    <w:tmpl w:val="33DE2656"/>
    <w:lvl w:ilvl="0" w:tplc="13A4BECC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591549B3"/>
    <w:multiLevelType w:val="hybridMultilevel"/>
    <w:tmpl w:val="35601D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23E1DC4"/>
    <w:multiLevelType w:val="hybridMultilevel"/>
    <w:tmpl w:val="01ECFC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66423E2B"/>
    <w:multiLevelType w:val="hybridMultilevel"/>
    <w:tmpl w:val="67CC5768"/>
    <w:lvl w:ilvl="0" w:tplc="13A4BEC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E946A00"/>
    <w:multiLevelType w:val="hybridMultilevel"/>
    <w:tmpl w:val="E6EC7A96"/>
    <w:lvl w:ilvl="0" w:tplc="AD5408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"/>
        </w:tabs>
        <w:ind w:left="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</w:abstractNum>
  <w:abstractNum w:abstractNumId="10">
    <w:nsid w:val="6F0F56D3"/>
    <w:multiLevelType w:val="hybridMultilevel"/>
    <w:tmpl w:val="68C0F04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C"/>
    <w:rsid w:val="00367F83"/>
    <w:rsid w:val="004813D2"/>
    <w:rsid w:val="00892C2C"/>
    <w:rsid w:val="00A54373"/>
    <w:rsid w:val="00BD6AEA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rPr>
      <w:rFonts w:cs="Arial"/>
      <w:b/>
      <w:bCs/>
      <w:sz w:val="26"/>
      <w:szCs w:val="26"/>
      <w:lang w:val="ru-RU" w:eastAsia="ru-RU" w:bidi="ar-SA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rPr>
      <w:rFonts w:cs="Arial"/>
      <w:b/>
      <w:bCs/>
      <w:sz w:val="26"/>
      <w:szCs w:val="26"/>
      <w:lang w:val="ru-RU" w:eastAsia="ru-RU" w:bidi="ar-SA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Alex Co.</Company>
  <LinksUpToDate>false</LinksUpToDate>
  <CharactersWithSpaces>30163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cp:lastPrinted>2003-04-13T20:38:00Z</cp:lastPrinted>
  <dcterms:created xsi:type="dcterms:W3CDTF">2024-03-12T14:36:00Z</dcterms:created>
  <dcterms:modified xsi:type="dcterms:W3CDTF">2024-03-12T14:36:00Z</dcterms:modified>
</cp:coreProperties>
</file>