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:rsidR="00000000" w:rsidRDefault="00565589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"Хроническая тазовая боль"</w:t>
      </w:r>
    </w:p>
    <w:p w:rsidR="00000000" w:rsidRDefault="0056558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Понятие хронической тазовой боли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Распространенность и причины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Механизм развития тазовой боли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Клиническая характеристика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Дифференциально-диагностические мероприятия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Анамнез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 xml:space="preserve">3.2 </w:t>
      </w:r>
      <w:r>
        <w:rPr>
          <w:smallCaps/>
          <w:noProof/>
          <w:color w:val="0000FF"/>
          <w:sz w:val="28"/>
          <w:szCs w:val="28"/>
          <w:u w:val="single"/>
        </w:rPr>
        <w:t>Обследование пациенток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Лабораторно-инструментальные методы исследования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3.3 Лечение</w:t>
      </w:r>
    </w:p>
    <w:p w:rsidR="00000000" w:rsidRDefault="0056558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:rsidR="00000000" w:rsidRDefault="00565589">
      <w:pPr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1. Понятие хронической тазовой боли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1.1 Распространенность и причины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Тазовая боль - чувство дискомфорта в нижней части живота: ниже пупка, выше и </w:t>
      </w:r>
      <w:r>
        <w:rPr>
          <w:color w:val="000000"/>
          <w:sz w:val="28"/>
          <w:szCs w:val="28"/>
        </w:rPr>
        <w:t>медиальнее паховых связок, за лоном и в пояснично-крестцовой области.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Синдром хронической тазовой боли - длительно существующая (свыше 6 мес), трудно купируемая тазовая боль, дезорганизующая центральные механизмы регуляции важнейших функций организма челов</w:t>
      </w:r>
      <w:r>
        <w:rPr>
          <w:color w:val="000000"/>
          <w:sz w:val="28"/>
          <w:szCs w:val="28"/>
        </w:rPr>
        <w:t>ека, изменяющая психику и поведение человека и нарушающая его социальную адаптацию.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ВОЗ, каждый пятый человек в мире страдает хронической болью, обусловленной заболеваниями различных органов и систем. Свыше 60% женщин ежегодно обращаются за</w:t>
      </w:r>
      <w:r>
        <w:rPr>
          <w:color w:val="000000"/>
          <w:sz w:val="28"/>
          <w:szCs w:val="28"/>
        </w:rPr>
        <w:t xml:space="preserve"> помощью к акушеру-гинекологу именно в связи с тазовыми болями. Хроническая тазовая боль значительно чаще бывает симптомом гинекологических (73,1%) или экстрагенитальных заболеваний (21,9%), чем различного рода психических нарушений (1,1%). Столь же редко </w:t>
      </w:r>
      <w:r>
        <w:rPr>
          <w:color w:val="000000"/>
          <w:sz w:val="28"/>
          <w:szCs w:val="28"/>
        </w:rPr>
        <w:t>она имеет самостоятельное нозологическое или синдромное значение (1,5%).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своим проявлениям хроническую тазовую боль можно разделить следующим образом: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тазовая боль - болевые ощущения в нижних отделах живота, паховых областях, пояснице, беспок</w:t>
      </w:r>
      <w:r>
        <w:rPr>
          <w:color w:val="000000"/>
          <w:sz w:val="28"/>
          <w:szCs w:val="28"/>
        </w:rPr>
        <w:t>оящие пациентку практически постоянно и усиливающиеся в определённые дни менструального цикла, при переохлаждении, длительной статической нагрузке и т.д.;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дисменорея - болезненные менструации;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глубокая диспареуния - болезненный половой акт при глубоком про</w:t>
      </w:r>
      <w:r>
        <w:rPr>
          <w:color w:val="000000"/>
          <w:sz w:val="28"/>
          <w:szCs w:val="28"/>
        </w:rPr>
        <w:t>никновении.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причины хронической тазовой боли: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гинекологические заболевания;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хронические воспалительные заболевания внутренних половых органов;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спаечный процесс как следствие перенесённого воспалительного заболевания половых органов;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наружный генит</w:t>
      </w:r>
      <w:r>
        <w:rPr>
          <w:color w:val="000000"/>
          <w:sz w:val="28"/>
          <w:szCs w:val="28"/>
        </w:rPr>
        <w:t>альный эндометриоз;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внутренний эндометриоз тела матки;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генитальный туберкулёз;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миома матки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доброкачественные и злокачественные опухоли яичников;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злокачественные новообразования тела и шейки матки;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альгоменорея;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аномалии развития половых органов с</w:t>
      </w:r>
      <w:r>
        <w:rPr>
          <w:color w:val="000000"/>
          <w:sz w:val="28"/>
          <w:szCs w:val="28"/>
        </w:rPr>
        <w:t xml:space="preserve"> нарушением оттока менструальной крови;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атрезия канала шейки матки;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ВМК;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спаечный процесс после гинекологических операций;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ЖКТ;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колит, синдром раздражённой кишки, неспецифический язвенный колит;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опорно-двиг</w:t>
      </w:r>
      <w:r>
        <w:rPr>
          <w:color w:val="000000"/>
          <w:sz w:val="28"/>
          <w:szCs w:val="28"/>
        </w:rPr>
        <w:t>ательного аппарата;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остеохондроз позвоночника;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грыжа Шморля;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кокцигодиния, артроз крестцово-копчикового сочленения;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опухоли костей таза;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метастазы в кости таза и позвоночник;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туберкулёз костно-мышечной системы;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симфизиолиз, симфизиопатии;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забрюши</w:t>
      </w:r>
      <w:r>
        <w:rPr>
          <w:color w:val="000000"/>
          <w:sz w:val="28"/>
          <w:szCs w:val="28"/>
        </w:rPr>
        <w:t>нные новообразования, в том числе ганглионеврома забрюшинного пространства;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периферической нервной системы;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плекситы, в том числе солярит и соляропатия;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аппендикулярно-генитальный синдром;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проктит;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спаечная болезнь;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заболевания органов системы </w:t>
      </w:r>
      <w:r>
        <w:rPr>
          <w:color w:val="000000"/>
          <w:sz w:val="28"/>
          <w:szCs w:val="28"/>
        </w:rPr>
        <w:t>мочевыделения;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цистит;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мочекаменная болезнь;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тазовая дистопия почки, нефроптоз;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заболевания сосудов;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варикозное расширение вен малого таза;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психические заболевания;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депрессивный синдром, в том числе при шизофрении;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"неорганические" боли, не свя</w:t>
      </w:r>
      <w:r>
        <w:rPr>
          <w:color w:val="000000"/>
          <w:sz w:val="28"/>
          <w:szCs w:val="28"/>
        </w:rPr>
        <w:t>занные с психическим заболеванием;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психогенные боли;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абдоминальная форма спазмофилии;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абдоминалгии у больных гипервентиляционным синдромом;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 без видимой причины.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1.2 Механизм развития тазовой боли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формирования синдрома хронической</w:t>
      </w:r>
      <w:r>
        <w:rPr>
          <w:color w:val="000000"/>
          <w:sz w:val="28"/>
          <w:szCs w:val="28"/>
        </w:rPr>
        <w:t xml:space="preserve"> тазовой боли при различных гинекологических заболеваниях следует считать расстройства регионарной и внутриорганной гемодинамики, нарушение тканевого дыхания с избыточным образованием продуктов клеточного метаболизма, воспалительные, дистрофические и функц</w:t>
      </w:r>
      <w:r>
        <w:rPr>
          <w:color w:val="000000"/>
          <w:sz w:val="28"/>
          <w:szCs w:val="28"/>
        </w:rPr>
        <w:t>иональные изменения в периферическом нервном аппарате внутренних половых органов и вегетативных симпатических ганглиях.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стабилизация и усугубление болевых ощущений, т.е. по сути дела формирование синдрома тазовой боли, происходит при взаимоде</w:t>
      </w:r>
      <w:r>
        <w:rPr>
          <w:color w:val="000000"/>
          <w:sz w:val="28"/>
          <w:szCs w:val="28"/>
        </w:rPr>
        <w:t>йствии различных факторов, среди которых немаловажное значение имеют тип развития личности женщины, особенности её образа жизни, уровень интеллекта и т.д.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Болевой синдром, формирующийся, как правило, не сразу, а спустя некоторое (иногда достаточно длительн</w:t>
      </w:r>
      <w:r>
        <w:rPr>
          <w:color w:val="000000"/>
          <w:sz w:val="28"/>
          <w:szCs w:val="28"/>
        </w:rPr>
        <w:t>ое) время от начала действия тех или иных повреждающих факторов, по-видимому, проходит опредёленные этапы развития.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называют органным, для него характерно появление локальной боли в области таза, нижней части живота. Нередко боль сочетается с н</w:t>
      </w:r>
      <w:r>
        <w:rPr>
          <w:color w:val="000000"/>
          <w:sz w:val="28"/>
          <w:szCs w:val="28"/>
        </w:rPr>
        <w:t>арушениями функций половых и соседних с ними органов. Эти явления в значительной мере зависят от расстройств кровообращения (гиперемия, застой крови и т.п.).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второго (надорганного) этапа характерно появление реперкуссионных (отражённых) болей в верхних</w:t>
      </w:r>
      <w:r>
        <w:rPr>
          <w:color w:val="000000"/>
          <w:sz w:val="28"/>
          <w:szCs w:val="28"/>
        </w:rPr>
        <w:t xml:space="preserve"> отделах живота. В ряде наблюдений болевые ощущения окончательно переходят в верхние отделы живота. Таким образом, происходит формирование вторичного очага раздражения в одном из паравертебральных узлов. При исчезновении видимой связи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болевого синдрома с п</w:t>
      </w:r>
      <w:r>
        <w:rPr>
          <w:color w:val="000000"/>
          <w:sz w:val="28"/>
          <w:szCs w:val="28"/>
        </w:rPr>
        <w:t>оловым аппаратом объяснить эти боли обычно бывает очень трудно, и это нередко приводит к диагностическим ошибкам.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третьего (полисистемного) этапа заболевания характерно распространение трофических расстройств как бы в восходящем направлении, с широким </w:t>
      </w:r>
      <w:r>
        <w:rPr>
          <w:color w:val="000000"/>
          <w:sz w:val="28"/>
          <w:szCs w:val="28"/>
        </w:rPr>
        <w:t>вовлечением в патологический процесс различных отделов нервной системы. При этом, как правило, возникают нарушения менструальной, секреторной и половой функций, кишечные расстройства, изменения обмена веществ. Тазовая боль становится интенсивнее, что делае</w:t>
      </w:r>
      <w:r>
        <w:rPr>
          <w:color w:val="000000"/>
          <w:sz w:val="28"/>
          <w:szCs w:val="28"/>
        </w:rPr>
        <w:t>т крайне сложной или практически невозможной диагностику заболевания. На этой стадии патологический процесс приобретает полисистемный характер, окончательно исчезает его нозологическая специфичность.</w:t>
      </w: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2. Клиническая характеристика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Хроническая тазовая боль</w:t>
      </w:r>
      <w:r>
        <w:rPr>
          <w:color w:val="000000"/>
          <w:sz w:val="28"/>
          <w:szCs w:val="28"/>
        </w:rPr>
        <w:t>, с одной стороны, может быть симптомом какого либо гинекологического, соматического или психического заболевания, с другой - иметь вполне самостоятельное, нозологическое значение, быть важнейшей составляющей синдрома тазовой боли.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синдроме хронической</w:t>
      </w:r>
      <w:r>
        <w:rPr>
          <w:color w:val="000000"/>
          <w:sz w:val="28"/>
          <w:szCs w:val="28"/>
        </w:rPr>
        <w:t xml:space="preserve"> тазовой боли практически любого генеза женщины, как правило, предъявляют жалобы на повышенную раздражительность, нарушение сна, снижение работоспособности, потерю интереса к окружающему миру ("уход больного в боль"), подавленное настроение, вплоть до разв</w:t>
      </w:r>
      <w:r>
        <w:rPr>
          <w:color w:val="000000"/>
          <w:sz w:val="28"/>
          <w:szCs w:val="28"/>
        </w:rPr>
        <w:t>ития депрессивных и ипохондрических реакций, которые, в свою очередь, усугубляют патологическую болевую реакцию. Происходит формирование своеобразного "порочного круга": боль - социальная дезадаптация - психоэмоциональные нарушения - боль. Хронизация боли,</w:t>
      </w:r>
      <w:r>
        <w:rPr>
          <w:color w:val="000000"/>
          <w:sz w:val="28"/>
          <w:szCs w:val="28"/>
        </w:rPr>
        <w:t xml:space="preserve"> как правило, возникает у лиц определённого склада: ипохондрически настроенных, тревожных, мнительных.</w:t>
      </w: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3. Дифференциально-диагностические мероприятия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3.1 Анамнез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Ключевое значение для дифференциально-диагностического поиска причин хронической тазовой бо</w:t>
      </w:r>
      <w:r>
        <w:rPr>
          <w:color w:val="000000"/>
          <w:sz w:val="28"/>
          <w:szCs w:val="28"/>
        </w:rPr>
        <w:t>ли у женщин имеет грамотно собранный анамнез. История настоящего заболевания, семейный и социальный анамнез, а также подробные сведения (включая данные медицинских документов) о состоянии основных систем организма женщины позволяют предположить наиболее ве</w:t>
      </w:r>
      <w:r>
        <w:rPr>
          <w:color w:val="000000"/>
          <w:sz w:val="28"/>
          <w:szCs w:val="28"/>
        </w:rPr>
        <w:t>роятный генез болевого синдрома и исходя из этого разработать индивидуальный план обследования пациентки.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особой тщательностью следует зафиксировать основные жалобы женщины. При этом жалобы, как правило, бывают достаточно разнообразны. Нередко пациентка </w:t>
      </w:r>
      <w:r>
        <w:rPr>
          <w:color w:val="000000"/>
          <w:sz w:val="28"/>
          <w:szCs w:val="28"/>
        </w:rPr>
        <w:t>не в состоянии точно указать локализацию боли, отмечая довольно обширный участок: от гипо- до эпигастральной области. Однако конкретизация топографии боли имеет принципиальное значение.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Боли, локализованные по средней линии живота несколько выше лонного со</w:t>
      </w:r>
      <w:r>
        <w:rPr>
          <w:color w:val="000000"/>
          <w:sz w:val="28"/>
          <w:szCs w:val="28"/>
        </w:rPr>
        <w:t>членения или непосредственно за ним, в основном характерны для хронических воспалительных заболеваний и опухолей матки, мочевого пузыря, прямой кишки, а также для внутреннего эндометриоза II-III стадии распространения. Значительно реже такие боли возникают</w:t>
      </w:r>
      <w:r>
        <w:rPr>
          <w:color w:val="000000"/>
          <w:sz w:val="28"/>
          <w:szCs w:val="28"/>
        </w:rPr>
        <w:t xml:space="preserve"> при аномалиях развития матки, симфизиолизе, нераспознанных пупочных грыжах или послеоперационных грыжах белой линии живота.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Тазовая боль в правой и левой подвздошных областях нередко бывает основным, а иногда и единственным симптомом хронического воспален</w:t>
      </w:r>
      <w:r>
        <w:rPr>
          <w:color w:val="000000"/>
          <w:sz w:val="28"/>
          <w:szCs w:val="28"/>
        </w:rPr>
        <w:t>ия придатков матки, наружного генитального эндометриоза, травматического повреждения широких связок матки (синдром Аллена-Мастерса), доброкачественных и злокачественных опухолей внутренних половых органов.</w:t>
      </w:r>
    </w:p>
    <w:p w:rsidR="00000000" w:rsidRDefault="0056558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хроническая тазовая боль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Боли, преимущественно про</w:t>
      </w:r>
      <w:r>
        <w:rPr>
          <w:color w:val="000000"/>
          <w:sz w:val="28"/>
          <w:szCs w:val="28"/>
        </w:rPr>
        <w:t>ецирующиеся на нижние квадранты живота справа или слева, наблюдают при функциональных или органических заболеваниях ЖКТ (неспецифические колиты, синдром раздражённой кишки, дивертикулёзы и дивертикулиты, болезнь Крона, атония слепой кишки, новообразования)</w:t>
      </w:r>
      <w:r>
        <w:rPr>
          <w:color w:val="000000"/>
          <w:sz w:val="28"/>
          <w:szCs w:val="28"/>
        </w:rPr>
        <w:t>, органов мочевой системы (гидроуретеронефроз, уретеролитиаз, хронический уретрит и др.), а также при поражении забрюшинных лимфатических узлов (лимфосаркома, висцеральная форма лимфогранулематоза) и заболеваниях селезёнки (хронический миелолейкоз).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</w:t>
      </w:r>
      <w:r>
        <w:rPr>
          <w:color w:val="000000"/>
          <w:sz w:val="28"/>
          <w:szCs w:val="28"/>
        </w:rPr>
        <w:t>м для упрощения диагностического поиска можно условно предположить, что тазовая боль, локализованная ниже линии, соединяющей ости подвздошных костей и пупок, как правило, указывает на заболевания внутренних половых органов, а выше этой линии - на поражение</w:t>
      </w:r>
      <w:r>
        <w:rPr>
          <w:color w:val="000000"/>
          <w:sz w:val="28"/>
          <w:szCs w:val="28"/>
        </w:rPr>
        <w:t xml:space="preserve"> кишечника, почек и т.д.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Хронические тазовые боли с эпицентром в пояснично-крестцовой области наиболее часто связаны с приобретёнными заболеваниями скелета травматического, воспалительного, дегенеративного или опухолевого генеза. Несколько реже - с врождён</w:t>
      </w:r>
      <w:r>
        <w:rPr>
          <w:color w:val="000000"/>
          <w:sz w:val="28"/>
          <w:szCs w:val="28"/>
        </w:rPr>
        <w:t>ными аномалиями его развития (незаращение дужки позвонка, спондилолиз, люмбализация, сакрализация и др.).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Аналогичную по локализации боль нередко наблюдают при дисменорее, в том числе обусловленной генитальным эндометриозом. Боль может возникать и при так </w:t>
      </w:r>
      <w:r>
        <w:rPr>
          <w:color w:val="000000"/>
          <w:sz w:val="28"/>
          <w:szCs w:val="28"/>
        </w:rPr>
        <w:t>называемой половой неврастении, которая чаще обусловлена застойной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гиперемией тазовых органов, например, под влиянием длительно практикуемой мастурбации или прерванного полового сношения (раздражение висцеральных нервов). Однако односторонняя боль в крестц</w:t>
      </w:r>
      <w:r>
        <w:rPr>
          <w:color w:val="000000"/>
          <w:sz w:val="28"/>
          <w:szCs w:val="28"/>
        </w:rPr>
        <w:t>е в подавляющем большинстве случаев свидетельствует против её генитального происхождения.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многообразия экстрагенитальных причин развития хронических болей в поясничнокрестцовой области нельзя не упомянуть почечные заболевания (хронический пиелонефрит</w:t>
      </w:r>
      <w:r>
        <w:rPr>
          <w:color w:val="000000"/>
          <w:sz w:val="28"/>
          <w:szCs w:val="28"/>
        </w:rPr>
        <w:t>, гидронефроз, нефроптоз), стриктуры мочеточников травматического, воспалительного или опухолевого генеза, а также врождённые или приобретённые заболевания сигмовидной и прямой кишки (сигмаптоз, мегасигма, расширение прямой кишки, геморрой и др.).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 в о</w:t>
      </w:r>
      <w:r>
        <w:rPr>
          <w:color w:val="000000"/>
          <w:sz w:val="28"/>
          <w:szCs w:val="28"/>
        </w:rPr>
        <w:t>бласти копчика - кокцигодиния чаще бывает следствием травматического повреждения самого копчика (периостит, артрит крестцово-копчикового сочленения, анкилоз сочленения, вывих копчика), реже имеет отражённый характер. В последнем случае кокцигодиния может б</w:t>
      </w:r>
      <w:r>
        <w:rPr>
          <w:color w:val="000000"/>
          <w:sz w:val="28"/>
          <w:szCs w:val="28"/>
        </w:rPr>
        <w:t>ыть симптомом параметрита, ретроцервикального эндометриоза или эндометриоза крестцово-маточных связок. Нередко жестокие боли в области копчика отмечают при запущенных формах рака прямой кишки и шейки матки.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дифференциально-диагностический поиск, не</w:t>
      </w:r>
      <w:r>
        <w:rPr>
          <w:color w:val="000000"/>
          <w:sz w:val="28"/>
          <w:szCs w:val="28"/>
        </w:rPr>
        <w:t>обходимо также учитывать факторы, провоцирующие усугубление болевой симптоматики. При заболеваниях опорно-двигательного аппарата таковыми чаще всего бывают статическая или динамическая физическая нагрузка, при поражении мочевой системы - переохлаждение или</w:t>
      </w:r>
      <w:r>
        <w:rPr>
          <w:color w:val="000000"/>
          <w:sz w:val="28"/>
          <w:szCs w:val="28"/>
        </w:rPr>
        <w:t xml:space="preserve"> погрешности в диете (солёная острая пища и др.). Последний фактор считают решающим и при заболеваниях ЖКТ.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Появление или усиление болевых ощущений во второй фазе менструального цикла, обычно за 3-7 дней до ожидаемой менструации, традиционно ассоциируют с </w:t>
      </w:r>
      <w:r>
        <w:rPr>
          <w:color w:val="000000"/>
          <w:sz w:val="28"/>
          <w:szCs w:val="28"/>
        </w:rPr>
        <w:t>генитальным эндометриозом. Усугубление болевой симптоматики во второй фазе менструального цикла может быть также одним из наиболее ярких клинических проявлений ПМС или варикозного расширения вен малого таза. В последнем случае интенсивность тазовой боли за</w:t>
      </w:r>
      <w:r>
        <w:rPr>
          <w:color w:val="000000"/>
          <w:sz w:val="28"/>
          <w:szCs w:val="28"/>
        </w:rPr>
        <w:t>висит не только от дня менструального цикла, но и от времени суток: нарастая к вечеру, она постепенно уменьшается или полностью купируется после относительно продолжительного отдыха в горизонтальном положении.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или усугубление тазовой боли во врем</w:t>
      </w:r>
      <w:r>
        <w:rPr>
          <w:color w:val="000000"/>
          <w:sz w:val="28"/>
          <w:szCs w:val="28"/>
        </w:rPr>
        <w:t>я менструации - дисменорея наиболее характерна для гинекологических заболеваний, в частности для аденомиоза, первичной альгодисменореи, аномалий положения и развития матки, хронического эндометрита.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Нарастание болевой симптоматики в раннюю фолликулярную фа</w:t>
      </w:r>
      <w:r>
        <w:rPr>
          <w:color w:val="000000"/>
          <w:sz w:val="28"/>
          <w:szCs w:val="28"/>
        </w:rPr>
        <w:t>зу менструального цикла наиболее характерно для обострения хронического воспаления придатков матки. Как правило, параллельно с усилением тазовой боли возникают симптомы, свидетельствующие об активации воспалительного процесса (повышение температуры тела, б</w:t>
      </w:r>
      <w:r>
        <w:rPr>
          <w:color w:val="000000"/>
          <w:sz w:val="28"/>
          <w:szCs w:val="28"/>
        </w:rPr>
        <w:t>ели и т.д.).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гинекологических заболеваний, сопровождающихся болевыми ощущениями, особое место занимает так называемый межменструальный болевой синдром, или синдром срединных болей. При этом синдроме боли различной интенсивности и продолжительности во</w:t>
      </w:r>
      <w:r>
        <w:rPr>
          <w:color w:val="000000"/>
          <w:sz w:val="28"/>
          <w:szCs w:val="28"/>
        </w:rPr>
        <w:t xml:space="preserve">зникают периодически (чаще ежемесячно) на 13-15й день менструального цикла и сопровождаются выраженными психовегетативными расстройствами. Часто межменструальный болевой синдром сопряжён с различными гинекологическими заболеваниями (хроническое воспаление </w:t>
      </w:r>
      <w:r>
        <w:rPr>
          <w:color w:val="000000"/>
          <w:sz w:val="28"/>
          <w:szCs w:val="28"/>
        </w:rPr>
        <w:t xml:space="preserve">матки и её придатков, генитальный эндометриоз, функциональные кисты яичников, варикозное расширение вен малого таза), т.е. имеет под собой конкретную органическую основу. Однако дебюту болевой симптоматики и последующей её стабилизации обычно предшествуют </w:t>
      </w:r>
      <w:r>
        <w:rPr>
          <w:color w:val="000000"/>
          <w:sz w:val="28"/>
          <w:szCs w:val="28"/>
        </w:rPr>
        <w:t>разнообразные стрессогенные ситуации: от банального переохлаждения до тяжёлых психических травм.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одной разновидностью, а в ряде случаев и неотъемлемой составляющей синдрома хронической тазовой боли считают диспареунию. Чаще всего этот симптом наблюдают</w:t>
      </w:r>
      <w:r>
        <w:rPr>
          <w:color w:val="000000"/>
          <w:sz w:val="28"/>
          <w:szCs w:val="28"/>
        </w:rPr>
        <w:t xml:space="preserve"> у больных наружным генитальным эндометриозом при расположении гетеротопий на крестцово-маточных связках или в позадишеечном пространстве. Несколько реже диспареунию выявляют при фиксированной ретродевиации матки, хроническом сальпингоофорите, спаечном про</w:t>
      </w:r>
      <w:r>
        <w:rPr>
          <w:color w:val="000000"/>
          <w:sz w:val="28"/>
          <w:szCs w:val="28"/>
        </w:rPr>
        <w:t>цессе в малом тазу практически любого генеза.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уточнить не только факторы, провоцирующие усиление тазовой боли, но и тщательно оценить эффективность предшествующего лечения. Прогестагенные препараты значительно ослабляют тазовую боль при гениталь</w:t>
      </w:r>
      <w:r>
        <w:rPr>
          <w:color w:val="000000"/>
          <w:sz w:val="28"/>
          <w:szCs w:val="28"/>
        </w:rPr>
        <w:t>ном эндометриозе, первичной альгодисменорее, ПМС. Ограничение статической нагрузки может быть эффективным не только при заболеваниях опорно-двигательного аппарата, но и при варикозном расширении вен малого таза, травматическом повреждении широких связок ма</w:t>
      </w:r>
      <w:r>
        <w:rPr>
          <w:color w:val="000000"/>
          <w:sz w:val="28"/>
          <w:szCs w:val="28"/>
        </w:rPr>
        <w:t>тки (синдром Аллена-Мастерса), несостоятельности мышц тазового дна. Применение курсового физиотерапевтического лечения (диадинамические, флуктуирующие, синусоидально-модулированные токи) наиболее результативно у пациенток с симптомом хронической тазовой бо</w:t>
      </w:r>
      <w:r>
        <w:rPr>
          <w:color w:val="000000"/>
          <w:sz w:val="28"/>
          <w:szCs w:val="28"/>
        </w:rPr>
        <w:t>ли воспалительного генеза, в том числе при сопутствующем спаечном процессе и нарушении гемодинамики в сосудах малого таза. Однако при классическом синдроме хронической тазовой боли физиотерапевтические процедуры чаще оказывают противоположное действие, усу</w:t>
      </w:r>
      <w:r>
        <w:rPr>
          <w:color w:val="000000"/>
          <w:sz w:val="28"/>
          <w:szCs w:val="28"/>
        </w:rPr>
        <w:t>губляя исходную болевую симптоматику.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повседневной практике при обследовании данного контингента пациенток наибольшее распространение получили визуально-аналоговые шкалы, позволяющие путём сопоставления изучить динамику болевого симптома в определённом и</w:t>
      </w:r>
      <w:r>
        <w:rPr>
          <w:color w:val="000000"/>
          <w:sz w:val="28"/>
          <w:szCs w:val="28"/>
        </w:rPr>
        <w:t>нтервале времени или в процессе какого-либо лечения. Также используют специально разработанные анкеты, с помощью которых можно получить представление не только об интенсивности тазовой боли, но и о степени субъективности в её оценке.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3.2 Обследование паци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енток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физикальное исследование начинают с осмотра и поверхностной пальпации живота, акцентируя внимание на появлении болезненных ощущений, связанных с гиперестезией брюшных покровов. Она может зависеть от различных причин, в частности от органическ</w:t>
      </w:r>
      <w:r>
        <w:rPr>
          <w:color w:val="000000"/>
          <w:sz w:val="28"/>
          <w:szCs w:val="28"/>
        </w:rPr>
        <w:t>их изменений в самой коже или более глубоких слоях передней брюшной стенки (невролипомы, десмоидные опухоли брюшной стенки, разрывы мышц и пр.).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Легче всего повышенную чувствительность выявить путём пощипывания кожи. Для исследования гиперестезии глубоких </w:t>
      </w:r>
      <w:r>
        <w:rPr>
          <w:color w:val="000000"/>
          <w:sz w:val="28"/>
          <w:szCs w:val="28"/>
        </w:rPr>
        <w:t>слоёв можно использовать следующий приём: врач плашмя кладёт руку на соответствующий участок брюшной стенки, после чего производит лёгкое, обычно почти безболезненное надавливание. Затем пациентке предлагают быстро поднять верхнюю половину туловища. При пр</w:t>
      </w:r>
      <w:r>
        <w:rPr>
          <w:color w:val="000000"/>
          <w:sz w:val="28"/>
          <w:szCs w:val="28"/>
        </w:rPr>
        <w:t>оисходящем в этот момент сокращении брюшной мускулатуры лёгкое давление руки может вызвать сильную боль.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исключения нераспознанных паховых, пупочных или эпигастральных грыж обследование пациентки проводят как в положении стоя, так и лёжа. При кашле, на</w:t>
      </w:r>
      <w:r>
        <w:rPr>
          <w:color w:val="000000"/>
          <w:sz w:val="28"/>
          <w:szCs w:val="28"/>
        </w:rPr>
        <w:t>туживании обычно можно определить расширение грыжевых ворот или выявить повышенную чувствительность при пальпации соответствующих участков передней брюшной стенки.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специальных методов гинекологического обследования (осмотр наружных половых орган</w:t>
      </w:r>
      <w:r>
        <w:rPr>
          <w:color w:val="000000"/>
          <w:sz w:val="28"/>
          <w:szCs w:val="28"/>
        </w:rPr>
        <w:t>ов, исследование шейки матки и влагалища с помощью зеркал, бимануальное влагалищное и/или ректовагинальное исследование) позволяет выделить две основные группы больных.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Первую из них составляют женщины, у которых уже на этом этапе обследования могут быть д</w:t>
      </w:r>
      <w:r>
        <w:rPr>
          <w:color w:val="000000"/>
          <w:sz w:val="28"/>
          <w:szCs w:val="28"/>
        </w:rPr>
        <w:t>иагностированы различные гинекологические заболевания, способные сами по себе или в сочетании привести к возникновению и прогрессированию синдрома хронической тазовой боли с последующим воздействием алгогенного очага на психическую и соматическую сферу.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</w:t>
      </w:r>
      <w:r>
        <w:rPr>
          <w:color w:val="000000"/>
          <w:sz w:val="28"/>
          <w:szCs w:val="28"/>
        </w:rPr>
        <w:t>орая группа включает в себя больных, у которых визуально определяемые или пальпируемые патологические изменения наружных и внутренних половых органов отсутствуют вообще или выражены столь незначительно, что их не рассматривают как причину хронической тазов</w:t>
      </w:r>
      <w:r>
        <w:rPr>
          <w:color w:val="000000"/>
          <w:sz w:val="28"/>
          <w:szCs w:val="28"/>
        </w:rPr>
        <w:t>ой боли. Отсутствие у этих женщин психических нарушений или каких-либо экстрагенитальных заболеваний, протекающих с выраженной болевой симптоматикой, позволяет предположить развитие своеобразного состояния, при котором боль приобретает нозологическое звуча</w:t>
      </w:r>
      <w:r>
        <w:rPr>
          <w:color w:val="000000"/>
          <w:sz w:val="28"/>
          <w:szCs w:val="28"/>
        </w:rPr>
        <w:t>ние, т.е. по сути сама становится болезнью.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это предположение требует обязательного клинико-лабораторного, инструментального и в ряде случаев патоморфологического подтверждения.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3.2 Лабораторно-инструментальные методы исследования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 ил</w:t>
      </w:r>
      <w:r>
        <w:rPr>
          <w:color w:val="000000"/>
          <w:sz w:val="28"/>
          <w:szCs w:val="28"/>
        </w:rPr>
        <w:t>и верификации генеза хронической тазовой боли используют комплекс клинико-лабораторных и аппаратно-инструментальных методов исследования, обязательными составляющими которого считают: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лабораторное исследование на герпетическую инфекцию, более других связан</w:t>
      </w:r>
      <w:r>
        <w:rPr>
          <w:color w:val="000000"/>
          <w:sz w:val="28"/>
          <w:szCs w:val="28"/>
        </w:rPr>
        <w:t>ную с развитием тазовых ганглионевритов;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УЗИ органов малого таза (скрининг для исключения органических заболеваний внутренних половых органов и мочевыделительной системы);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рентгенологическое исследование пояснично-крестцового отдела позвоночника и костей т</w:t>
      </w:r>
      <w:r>
        <w:rPr>
          <w:color w:val="000000"/>
          <w:sz w:val="28"/>
          <w:szCs w:val="28"/>
        </w:rPr>
        <w:t>аза;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абсорбционную денситометрию для исключения остеопороза; рентгенологическое (ирригоскопия) или эндоскопическое (ректороманоскопия, колоноскопия, цистоскопия) исследование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ЖКТ и мочевого пузыря;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лапароскопию.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особо выделить лапароскопию, подч</w:t>
      </w:r>
      <w:r>
        <w:rPr>
          <w:color w:val="000000"/>
          <w:sz w:val="28"/>
          <w:szCs w:val="28"/>
        </w:rPr>
        <w:t>еркнув обоснованность и целесообразность её проведения всем женщинам, страдающим хронической тазовой болью. Причина этой исключительности состоит в том, что лапароскопию считают необходимым этапом диагностики перитонеального эндометриоза, синдрома Аллена-М</w:t>
      </w:r>
      <w:r>
        <w:rPr>
          <w:color w:val="000000"/>
          <w:sz w:val="28"/>
          <w:szCs w:val="28"/>
        </w:rPr>
        <w:t>астерса, хронического воспаления придатков матки, спаечного процесса в брюшной полости и полости таза, варикозного расширения вен малого таза, т.е. тех заболеваний, которые, согласно статистическим исследованиям, занимают ведущие позиции в структуре причин</w:t>
      </w:r>
      <w:r>
        <w:rPr>
          <w:color w:val="000000"/>
          <w:sz w:val="28"/>
          <w:szCs w:val="28"/>
        </w:rPr>
        <w:t xml:space="preserve"> хронической тазовой боли.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лапароскопия позволяет выявить все основные причины болевых ощущений в малом тазу. Если причину хронической тазовой боли выявить всё же не удаётся (приблизительно в 1,5% случаев), то применительно к таким ситуац</w:t>
      </w:r>
      <w:r>
        <w:rPr>
          <w:color w:val="000000"/>
          <w:sz w:val="28"/>
          <w:szCs w:val="28"/>
        </w:rPr>
        <w:t>иям в Международной статистической классификации болезней, травм и причин смерти (ВОЗ, Женева, 1997 г.) предусмотрена рубрификация "боль без видимой причины", которая даёт основания к проведению симптоматической терапии.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3.3 Лечение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методы лечен</w:t>
      </w:r>
      <w:r>
        <w:rPr>
          <w:color w:val="000000"/>
          <w:sz w:val="28"/>
          <w:szCs w:val="28"/>
        </w:rPr>
        <w:t>ия представлены в табл.16-1.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пациенток с хронической тазовой болью требует комплексного подхода. Обычно длительность болевого анамнеза пропорциональная количеству испробованных способов и методов лечения, а также нигилизму пациентки по отношению к </w:t>
      </w:r>
      <w:r>
        <w:rPr>
          <w:color w:val="000000"/>
          <w:sz w:val="28"/>
          <w:szCs w:val="28"/>
        </w:rPr>
        <w:t>медицине вообще и конкретным врачам в частности. В этой связи к составлению плана обследования и лечения больной необходимо привлечь специалистов различного профиля: терапевта, уролога, невролога, физиотерапевта и, возможно, психоневролога. Коллегиальность</w:t>
      </w:r>
      <w:r>
        <w:rPr>
          <w:color w:val="000000"/>
          <w:sz w:val="28"/>
          <w:szCs w:val="28"/>
        </w:rPr>
        <w:t xml:space="preserve"> уменьшает вероятность конфронтации между пациенткой и врачом, а следовательно, повышает шансы на успех лечения.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лечение синдрома хронической тазовой боли должно быть основано на следующих основных принципах: 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помочь больной понять причи</w:t>
      </w:r>
      <w:r>
        <w:rPr>
          <w:color w:val="000000"/>
          <w:sz w:val="28"/>
          <w:szCs w:val="28"/>
        </w:rPr>
        <w:t xml:space="preserve">ну боли и, по возможности, конкретизировать факторы, которые приводят к обострению; 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свести к рациональному минимуму число используемых фармакологических средств, исключив лишние и неэффективные. При этом нужно максимально упростить схемы лечения, по</w:t>
      </w:r>
      <w:r>
        <w:rPr>
          <w:color w:val="000000"/>
          <w:sz w:val="28"/>
          <w:szCs w:val="28"/>
        </w:rPr>
        <w:t>степенно уменьшая дозы препаратов до величины, когда можно достичь выраженного благоприятного воздействия с минимальными побочными эффектами;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как можно раньше и шире использовать методы восстановительной терапии, направленные на коррекцию личнос</w:t>
      </w:r>
      <w:r>
        <w:rPr>
          <w:color w:val="000000"/>
          <w:sz w:val="28"/>
          <w:szCs w:val="28"/>
        </w:rPr>
        <w:t>тных факторов, мешающих устранению боли, увеличение функциональных возможностей женского организма, повышение качества жизни.</w:t>
      </w:r>
    </w:p>
    <w:p w:rsidR="00000000" w:rsidRDefault="0056558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02C3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3438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558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5655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6558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Найхус Л.М., Вителло Дж., Конден Р.Э. Боль в животе. Руководство по н</w:t>
      </w:r>
      <w:r>
        <w:rPr>
          <w:sz w:val="28"/>
          <w:szCs w:val="28"/>
        </w:rPr>
        <w:t>еотложной диагностике заболеваний органов брюшной полости. - М.: Бином, 2000. - 320 с.</w:t>
      </w:r>
    </w:p>
    <w:p w:rsidR="00000000" w:rsidRDefault="005655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Подзолкова Н.М. Лечение больных хроническим сальпингоофоритом со стойким болевым синдромом (клинико-морфологическое обоснование электроимпульсной терапии): Автореф. д</w:t>
      </w:r>
      <w:r>
        <w:rPr>
          <w:sz w:val="28"/>
          <w:szCs w:val="28"/>
        </w:rPr>
        <w:t>ис. … канд. мед. наук. - М., 1984. - 163 с.</w:t>
      </w:r>
    </w:p>
    <w:p w:rsidR="00565589" w:rsidRDefault="005655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 xml:space="preserve">Renair M. Reflection on chronic pain in gynecologic practice // Europ. </w:t>
      </w:r>
      <w:r>
        <w:rPr>
          <w:sz w:val="28"/>
          <w:szCs w:val="28"/>
        </w:rPr>
        <w:t>J. Obstet. Gynaeco. reprod. Biol. - 1984. - Vol.15/6. - P. 245-254.</w:t>
      </w:r>
    </w:p>
    <w:sectPr w:rsidR="005655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D"/>
    <w:rsid w:val="00302C3D"/>
    <w:rsid w:val="005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3232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2024-03-05T08:45:00Z</dcterms:created>
  <dcterms:modified xsi:type="dcterms:W3CDTF">2024-03-05T08:45:00Z</dcterms:modified>
</cp:coreProperties>
</file>