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Общие сведения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Андрей Егорович;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.04.1981г., 30 лет;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Военнослужащий (прапорщик), Управление коменданта охраны МО РФ;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 в клинику: 18.04.2011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курации: 21.04.2011;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Москва, ул. Абрамцевская, д. 9, корп. 1, кв. 119;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 по нап</w:t>
      </w:r>
      <w:r>
        <w:rPr>
          <w:sz w:val="28"/>
          <w:szCs w:val="28"/>
          <w:lang w:val="ru-RU"/>
        </w:rPr>
        <w:t>равлению поликлиники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 больного при поступлении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 жалуется на: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изжогу, которая появляется периодически, чаще всего через час после еды, усиливается при физической нагрузке, при наклоне тела или в положении лежа. Обычно купируется приемом стака</w:t>
      </w:r>
      <w:r>
        <w:rPr>
          <w:sz w:val="28"/>
          <w:szCs w:val="28"/>
          <w:lang w:val="ru-RU"/>
        </w:rPr>
        <w:t>на воды или приемом антацидов (маалокс, альмагель);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отрыжку воздухом/кислым, которая часто усиливается после приема пищи, особенно во второй половине дня, и употребления газированных напитков. Иногда отрыжка сочетается со срыгиванием пищи, особенно при физ</w:t>
      </w:r>
      <w:r>
        <w:rPr>
          <w:sz w:val="28"/>
          <w:szCs w:val="28"/>
          <w:lang w:val="ru-RU"/>
        </w:rPr>
        <w:t>ическом напряжении, наклонах туловища, в положении лежа. Во рту остается кислый привкус.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сильные схваткообразные боли в эпигастральной области после погрешностей в диете или в положении лежа, чаще по ночам, иррадиирующие в область сердца, усиливающиеся пос</w:t>
      </w:r>
      <w:r>
        <w:rPr>
          <w:sz w:val="28"/>
          <w:szCs w:val="28"/>
          <w:lang w:val="ru-RU"/>
        </w:rPr>
        <w:t>ле приема пищи через 15-20 минут, стихают боли после приема антацидных средств, после смены положения тела, уменьшаются после ходьбы, ощущение тяжести в желудке.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История настоящего заболевания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 себя больным с 2010 года, когда в</w:t>
      </w:r>
      <w:r>
        <w:rPr>
          <w:sz w:val="28"/>
          <w:szCs w:val="28"/>
          <w:lang w:val="ru-RU"/>
        </w:rPr>
        <w:t>первые появились схваткообразные боли в эпигастральной области, изжога и отрыжка. Заболевание связывает с нерегулярным питанием и частыми стрессами на работе. Лечился самостоятельно приемом антацидов (маалокс, фосфалюгель). В период с 17.11.2010 г. по 09.1</w:t>
      </w:r>
      <w:r>
        <w:rPr>
          <w:sz w:val="28"/>
          <w:szCs w:val="28"/>
          <w:lang w:val="ru-RU"/>
        </w:rPr>
        <w:t>2.2010 г. находился на стационарном обследовании и лечении в филиале №3 ФГУ «3 ЦВКГ им. А. А. Вишневского МО РФ», где впервые эндоскопически диагностирован хронический гастродуоденит в стадии обострения, по поводу чего проводилось лечение с положительным э</w:t>
      </w:r>
      <w:r>
        <w:rPr>
          <w:sz w:val="28"/>
          <w:szCs w:val="28"/>
          <w:lang w:val="ru-RU"/>
        </w:rPr>
        <w:t>ффектом. Очередное обострение с 14 апреля 2011 г., когда на фоне погрешностей в диете вновь отметил появление изжоги, интенсивных болей в эпигастральной области, появилось послабление стула, обратился за медицинской помощью по месту службы, диагностировано</w:t>
      </w:r>
      <w:r>
        <w:rPr>
          <w:sz w:val="28"/>
          <w:szCs w:val="28"/>
          <w:lang w:val="ru-RU"/>
        </w:rPr>
        <w:t xml:space="preserve"> обострение хронического гастродуоденита, направлен на стационарное лечение в 7ЦВАКГ.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История жизни (</w:t>
      </w:r>
      <w:r>
        <w:rPr>
          <w:b/>
          <w:bCs/>
          <w:sz w:val="28"/>
          <w:szCs w:val="28"/>
          <w:lang w:val="en-US"/>
        </w:rPr>
        <w:t>anamnesis vitae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Возраст родителей при рождении пациента: отец 35 лет, мать 34 года. Рос и развивался соответственно возрасту, в умственном и физическом </w:t>
      </w:r>
      <w:r>
        <w:rPr>
          <w:sz w:val="28"/>
          <w:szCs w:val="28"/>
          <w:lang w:val="ru-RU"/>
        </w:rPr>
        <w:t>развитии не отставал от сверстников. В школу пошел в 6 лет, закончил 10 классов в 16 лет. После школы сразу поступил в военное училище.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Родился в г. Трубчевск. Учебу с работой не совмещал; сразу после окончания военного училища в 22 года, начал работать. Р</w:t>
      </w:r>
      <w:r>
        <w:rPr>
          <w:sz w:val="28"/>
          <w:szCs w:val="28"/>
          <w:lang w:val="ru-RU"/>
        </w:rPr>
        <w:t>аботает по сменному графику. В связи с трудовой деятельностью частые психоэмоциональные напряжения.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Проживает в отдельной квартире со всеми удобствами, материально </w:t>
      </w:r>
      <w:r>
        <w:rPr>
          <w:sz w:val="28"/>
          <w:szCs w:val="28"/>
          <w:lang w:val="ru-RU"/>
        </w:rPr>
        <w:lastRenderedPageBreak/>
        <w:t>обеспечен удовлетворительно. Питается не регулярно, иногда однообразно, диету не соблюдает.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Вредные привычки отрицает.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Половое развитие и половая жизнь. Начало половой жизни с 18 лет.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Перенесенные заболевания. В детстве - частые ангины, последний раз в июле 2004 г. В 1983 г. - перелом левой бедренной кости, в 1997 г. - перелом левой малоберцовой </w:t>
      </w:r>
      <w:r>
        <w:rPr>
          <w:sz w:val="28"/>
          <w:szCs w:val="28"/>
          <w:lang w:val="ru-RU"/>
        </w:rPr>
        <w:t>кости.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гепатит, брюшной и сыпной тифы, кишечные инфекционные заболевания отрицает. Туберкулез, сифилис, и венерические заболевания отрицает.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Семейный анамнез. Наследственность не отягощен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Аллергологический анамнез не отягощен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Эпидемиологически</w:t>
      </w:r>
      <w:r>
        <w:rPr>
          <w:sz w:val="28"/>
          <w:szCs w:val="28"/>
          <w:lang w:val="ru-RU"/>
        </w:rPr>
        <w:t>й анамнез не отягощен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полис имеется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Настоящее состояние (</w:t>
      </w:r>
      <w:r>
        <w:rPr>
          <w:b/>
          <w:bCs/>
          <w:sz w:val="28"/>
          <w:szCs w:val="28"/>
          <w:lang w:val="en-US"/>
        </w:rPr>
        <w:t>status praesens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Общий осмотр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состояние удовлетворительное. Сознание ясное.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активное.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лица спокойное.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Телосложение правильное. Конституционный тип - нормостениче</w:t>
      </w:r>
      <w:r>
        <w:rPr>
          <w:sz w:val="28"/>
          <w:szCs w:val="28"/>
          <w:lang w:val="ru-RU"/>
        </w:rPr>
        <w:t>ский. Рост 178 см. Вес 86 кг. Температура тела 36.7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С.</w:t>
      </w:r>
    </w:p>
    <w:p w:rsidR="00000000" w:rsidRDefault="00E91CAD">
      <w:pPr>
        <w:tabs>
          <w:tab w:val="left" w:pos="567"/>
          <w:tab w:val="left" w:pos="993"/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Кожа и видимые слизистые оболочки</w:t>
      </w:r>
    </w:p>
    <w:p w:rsidR="00000000" w:rsidRDefault="00E91CAD">
      <w:pPr>
        <w:tabs>
          <w:tab w:val="left" w:pos="567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Кожа нормальной окраски. Влажность нормальная. Тургор не нарушен. Сыпей, кровоизлияний, расчесов, рубцов, шелушений, язв нет. Тип оволосения - мужской. Форма ногтей но</w:t>
      </w:r>
      <w:r>
        <w:rPr>
          <w:sz w:val="28"/>
          <w:szCs w:val="28"/>
          <w:lang w:val="ru-RU"/>
        </w:rPr>
        <w:t>рмальная, без трофических изменений. Видимые слизистые обычной окраски, чистые.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Подкожно-жировая клетчатка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Умеренная степень развития, равномерное распределение. Отеков нет.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Лимфатические узлы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Периферические лимфатические узлы не увеличены, безболезненны.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Мышцы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Безболезненны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развитие хорошее. Тонус нормальный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Кости</w:t>
      </w:r>
    </w:p>
    <w:p w:rsidR="00000000" w:rsidRDefault="00E91CAD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Кости без патологических изменений, деформаций, укорочений, искривлений нет.</w:t>
      </w:r>
    </w:p>
    <w:p w:rsidR="00000000" w:rsidRDefault="00E91CAD">
      <w:pPr>
        <w:tabs>
          <w:tab w:val="left" w:pos="567"/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Суставы</w:t>
      </w:r>
    </w:p>
    <w:p w:rsidR="00000000" w:rsidRDefault="00E91CAD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Суставы обычной формы и величины, изменений кожи над ними нет. Температура на ощупь кожных покровов над </w:t>
      </w:r>
      <w:r>
        <w:rPr>
          <w:sz w:val="28"/>
          <w:szCs w:val="28"/>
          <w:lang w:val="ru-RU"/>
        </w:rPr>
        <w:t>суставами не изменена. При пальпации безболезненны. Движения в суставах активные, в полном объеме, безболезненные.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дыхания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носа: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 не деформирован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шеи: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Гортань при пальпации безболезненна. Щитовидная железа не увеличена, обы</w:t>
      </w:r>
      <w:r>
        <w:rPr>
          <w:sz w:val="28"/>
          <w:szCs w:val="28"/>
          <w:lang w:val="ru-RU"/>
        </w:rPr>
        <w:t>чной формы и консистенции, поверхность железы гладкая, безболезненна при пальпации.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Осмотр грудной клетки:</w:t>
      </w:r>
    </w:p>
    <w:p w:rsidR="00000000" w:rsidRDefault="00E91CAD">
      <w:pPr>
        <w:tabs>
          <w:tab w:val="left" w:pos="993"/>
          <w:tab w:val="right" w:pos="86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Грудная клетка нормостеническая, не деформирована. Обе половины равномерно участвуют в дыхании. Частота дыхания 14 в минуту. Дыхание ритмичное, жестк</w:t>
      </w:r>
      <w:r>
        <w:rPr>
          <w:sz w:val="28"/>
          <w:szCs w:val="28"/>
          <w:lang w:val="ru-RU"/>
        </w:rPr>
        <w:t>ое. Экскурсия грудной клетки-8 см.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грудной клетки: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пальпации грудная клетка безболезненная, эластичная, голосовое дрожание проводится во все отделы грудной клетки.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Сравнительная перкуссия легких:</w:t>
      </w:r>
    </w:p>
    <w:p w:rsidR="00000000" w:rsidRDefault="00E91CAD">
      <w:pPr>
        <w:tabs>
          <w:tab w:val="left" w:pos="993"/>
          <w:tab w:val="right" w:pos="86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сравнительной перкуссии легких над поверхн</w:t>
      </w:r>
      <w:r>
        <w:rPr>
          <w:sz w:val="28"/>
          <w:szCs w:val="28"/>
          <w:lang w:val="ru-RU"/>
        </w:rPr>
        <w:t>остью легочных полей определяется ясный легочный звук во всех отделах грудной клетки.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 легких: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Спереди обе верхушки легких выстоят над ключицами на 2 см, сзади они располагаются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>-го шейного позвонка.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Нижние границы легких:</w:t>
      </w:r>
    </w:p>
    <w:p w:rsidR="00000000" w:rsidRDefault="00E91CAD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Топографические линии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  <w:lang w:val="ru-RU"/>
              </w:rPr>
              <w:t>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Срединно-ключичная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Аускультативно дыхание везикулярное во всех отделах грудной клетки. Хрипов нет. Бронхофония одинаковая с обеи</w:t>
      </w:r>
      <w:r>
        <w:rPr>
          <w:sz w:val="28"/>
          <w:szCs w:val="28"/>
          <w:lang w:val="ru-RU"/>
        </w:rPr>
        <w:t>х сторон, не изменена.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Сердечно-сосудистая система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сердечной области: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осмотре области сердца “сердечного горба”. Верхушечнй толчок пальпируется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межреберье на 1см кнутри от левой среднеключичной линии).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сосудов шеи: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Видимой пульсации н</w:t>
      </w:r>
      <w:r>
        <w:rPr>
          <w:sz w:val="28"/>
          <w:szCs w:val="28"/>
          <w:lang w:val="ru-RU"/>
        </w:rPr>
        <w:t>ет. Набухания шейных вен, «пляски каротид» нет.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Верхушечный толчок пальпируется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межреберье на 1 см кнутри от левой срединно-ключичной линии, умеренной силы.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«кошачьего мурлыканья» не определяется.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сердца: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относит</w:t>
      </w:r>
      <w:r>
        <w:rPr>
          <w:sz w:val="28"/>
          <w:szCs w:val="28"/>
          <w:lang w:val="ru-RU"/>
        </w:rPr>
        <w:t>ельной тупости сердца: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8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Местонахождение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межреберье на 2 см кнаружи от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уровне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ru-RU"/>
              </w:rPr>
              <w:t xml:space="preserve"> межреберья 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1 см кнутри от левой срединно-ключичной линии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межреберье</w:t>
            </w:r>
          </w:p>
        </w:tc>
      </w:tr>
    </w:tbl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абсолютной тупости сердца: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8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8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ле</w:t>
            </w:r>
            <w:r>
              <w:rPr>
                <w:sz w:val="20"/>
                <w:szCs w:val="20"/>
                <w:lang w:val="ru-RU"/>
              </w:rPr>
              <w:t xml:space="preserve">вому краю грудины в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8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2 см кнутри от левой границы относительно тупости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8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уровне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ребра у левого края грудины</w:t>
            </w:r>
          </w:p>
        </w:tc>
      </w:tr>
    </w:tbl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Сосудистый пучок 8 см.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сердца: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Тоны сердца ясные, ритмичные. ЧСС 84 в ударов в минуту. Дополнител</w:t>
      </w:r>
      <w:r>
        <w:rPr>
          <w:sz w:val="28"/>
          <w:szCs w:val="28"/>
          <w:lang w:val="ru-RU"/>
        </w:rPr>
        <w:t>ьные шумы не прослушиваются.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периферических сосудов: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Пульсация сонных, подключичных, лучевых, тыльных артерий стоп хорошо пальпируется.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и пальпация вен: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Вены на грудной и брюшной стенке, ногах не расширены, безболезненны.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Артериальное д</w:t>
      </w:r>
      <w:r>
        <w:rPr>
          <w:sz w:val="28"/>
          <w:szCs w:val="28"/>
          <w:lang w:val="ru-RU"/>
        </w:rPr>
        <w:t>авление: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правой руке 120/80 мм. рт. ст.,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левой руке 120/70мм. рт. ст.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пищеварения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Запах изо рта: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Запаха изо рта нет.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губ: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Розовые, влажные, без высыпаний, изъязвлений углов рта, трещин. Мягкое и твердое неба без налета.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</w:t>
      </w:r>
      <w:r>
        <w:rPr>
          <w:sz w:val="28"/>
          <w:szCs w:val="28"/>
          <w:lang w:val="ru-RU"/>
        </w:rPr>
        <w:t>истая внутренней поверхности губ, щек, твердого и мягкого неба бледно-розового цвета.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Десны: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Десны бледно-розовой окраски, разрыхленности, язв, участков некроза, геморрагий и болезненности нет.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Бледно-розового цвета, влажный, без налета, не воспален,</w:t>
      </w:r>
      <w:r>
        <w:rPr>
          <w:sz w:val="28"/>
          <w:szCs w:val="28"/>
          <w:lang w:val="ru-RU"/>
        </w:rPr>
        <w:t xml:space="preserve"> сосочки не изменены, трещин, язв и кровоизлияний нет.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Зев: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Зев бледно-розового цвета, не отечен, нормальной влажности.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Миндалины: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выступают из-за небных душек, однородные, с чистой поверхностью, бедно-розового цвета.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живота: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Живот правильной фор</w:t>
      </w:r>
      <w:r>
        <w:rPr>
          <w:sz w:val="28"/>
          <w:szCs w:val="28"/>
          <w:lang w:val="ru-RU"/>
        </w:rPr>
        <w:t>мы, участвует в акте дыхания, мягкий, болезненный в эпигастральной области. Видимой перистальтики желудка и кишечника нет.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живота: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жидкости и метеоризм не определяются. Симптом Менделя отрицательный.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Поверхностная ориентировочная пальпаци</w:t>
      </w:r>
      <w:r>
        <w:rPr>
          <w:sz w:val="28"/>
          <w:szCs w:val="28"/>
          <w:lang w:val="ru-RU"/>
        </w:rPr>
        <w:t>я: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Живот мягкий, болезненный в эпигастральной области. Симптом Щеткина-Блюмберга отрицательный.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Методическая глубокая скользящая пальпация по Образцову-Стражеско: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области кишечника, доступные пальпации (слепая кишка; восходящий, поперечно-ободочный и н</w:t>
      </w:r>
      <w:r>
        <w:rPr>
          <w:sz w:val="28"/>
          <w:szCs w:val="28"/>
          <w:lang w:val="ru-RU"/>
        </w:rPr>
        <w:t>исходящий отделы толстого кишечника, сигмовидная кишка) при исследовании - эластичные, безболезненные, расположены правильно.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Печень:</w:t>
      </w:r>
    </w:p>
    <w:p w:rsidR="00000000" w:rsidRDefault="00E91CA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абсолютной тупости: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3186"/>
        <w:gridCol w:w="3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Линия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Верхняя граница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Нижняя граница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Правая срединно-ключичная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Уровень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  <w:lang w:val="ru-RU"/>
              </w:rPr>
              <w:t xml:space="preserve"> ребра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Нижний край</w:t>
            </w:r>
            <w:r>
              <w:rPr>
                <w:sz w:val="22"/>
                <w:szCs w:val="22"/>
                <w:lang w:val="ru-RU"/>
              </w:rPr>
              <w:t xml:space="preserve"> реберной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Правая передняя подмыщечная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Уровень </w:t>
            </w: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  <w:lang w:val="ru-RU"/>
              </w:rPr>
              <w:t>ребра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Правая около-грудинная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Верхний край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  <w:lang w:val="ru-RU"/>
              </w:rPr>
              <w:t xml:space="preserve"> ребра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2 см нижнего края реберной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Передняя срединная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5 см от нижнего края мечевидного отростка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Курлову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Правая срединно-ключичная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Передняя срединная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Левая реберная дуга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см</w:t>
            </w:r>
          </w:p>
        </w:tc>
      </w:tr>
    </w:tbl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пальпации печени на высоте вдоха пальпируется нижний край печени - закругленный, плотноэластической консистенции, гладкий, безболезненный.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Желчный пузырь: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пальпируется. Симптомы Ортнера, М</w:t>
      </w:r>
      <w:r>
        <w:rPr>
          <w:sz w:val="28"/>
          <w:szCs w:val="28"/>
          <w:lang w:val="ru-RU"/>
        </w:rPr>
        <w:t>юсси, Курвуазье - отрицательные.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Селезенка: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Селезенка не пальпируется ни в положении на спине, ни в положении на правом боку.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Мочеполовая система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поясничной области сглаживания контуров, выбухания, гиперемии кожи и припухлости нет. Почки не пал</w:t>
      </w:r>
      <w:r>
        <w:rPr>
          <w:sz w:val="28"/>
          <w:szCs w:val="28"/>
          <w:lang w:val="ru-RU"/>
        </w:rPr>
        <w:t>ьпируются. Симптом Пастернацкого отрицательный с обеих сторон. Мочевой пузырь не пальпируется. Мочеиспускание свободное, безболезненное, не учащено.</w:t>
      </w:r>
    </w:p>
    <w:p w:rsidR="00000000" w:rsidRDefault="00E91CAD">
      <w:pPr>
        <w:tabs>
          <w:tab w:val="left" w:pos="993"/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Нервная система и органы чувств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 ясное. Интеллект сохранен. Речь внятная. Больной правильно отвечае</w:t>
      </w:r>
      <w:r>
        <w:rPr>
          <w:sz w:val="28"/>
          <w:szCs w:val="28"/>
          <w:lang w:val="ru-RU"/>
        </w:rPr>
        <w:t>т на вопросы. Память сохранена. Сон не нарушен. Чувствительность не изменена. Болезненности по ходу нервных стволов нет. Походка не изменена. Рефлексы сохранены, патологических рефлексов нет. Реакция зрачков на свет живая.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Дополнительные методы исследован</w:t>
      </w:r>
      <w:r>
        <w:rPr>
          <w:b/>
          <w:bCs/>
          <w:sz w:val="28"/>
          <w:szCs w:val="28"/>
          <w:lang w:val="ru-RU"/>
        </w:rPr>
        <w:t>ия: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3186"/>
        <w:gridCol w:w="3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анализа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4,78 млн/мкл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3,4-5,1 млн/мкл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 г/л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120-160 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Цветной показатель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1.03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0,85-1,05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5,63 * 10/л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3,2 - 10,2 * 10/л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1,6%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0- 5%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Нейтрофилы: палочкоядерные сегментоядерные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8% 61%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1-6% 42-72%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42,4%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19-37%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1,6%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3-11%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час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2-10 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час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Общий анализ крови, 21.04.2011 г.: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крови, 21.04.2011 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3009"/>
        <w:gridCol w:w="3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Белок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76,29 г/л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64-83 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 Ед/л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41 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АЛТ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 ммоль/л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41 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Щело</w:t>
            </w:r>
            <w:r>
              <w:rPr>
                <w:sz w:val="20"/>
                <w:szCs w:val="20"/>
                <w:lang w:val="ru-RU"/>
              </w:rPr>
              <w:t>чная фосфатаза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 ммоль/л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270 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105,2 мммоль/л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 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6.37 мкмоль/л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3,4 - 17,1 мкмоль/л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 ммоль/л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3,0-6,0 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Тимоловая проба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Ед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0-5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5.54 ммоль/л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3,89 - 5,83 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5.80 ммоль/</w:t>
            </w:r>
            <w:r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2,5-6,4 ммоль/л.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этиология гастродоуденит диагноз лечение</w:t>
      </w:r>
    </w:p>
    <w:p w:rsidR="00000000" w:rsidRDefault="00E91CA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Иммунологическое исследование крови 21.04.2011 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Тиротропин (ТТГ)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0,3-0, 4 мкМЕ/мл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Тироксин свободный (св. Т4)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10,0-24,5 нмоль/л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Антитела к ТПО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30 МЕ/мл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Антитела к ТГ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65 МЕ/мл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Коа</w:t>
      </w:r>
      <w:r>
        <w:rPr>
          <w:sz w:val="28"/>
          <w:szCs w:val="28"/>
          <w:lang w:val="ru-RU"/>
        </w:rPr>
        <w:t>гулологическое исследование плазмы, 21.04.2011 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383"/>
        <w:gridCol w:w="39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103%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90 - 105%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П/о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0,9 - 1,1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0,85 -1,15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Фибриноген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9,1 мкмоль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7,1 - 13,0 мкмоль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АЧТВ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24 - 34 сек.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Общий анализ мочи, 21.04.2011 г.: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соломенно-жёлтый;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прозрачность: прозрачная;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реакция: кислая;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удельный вес: 1,030;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Эпителий: отсутствует;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слизь: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ураты: </w:t>
      </w:r>
    </w:p>
    <w:p w:rsidR="00000000" w:rsidRDefault="00E91CAD">
      <w:pPr>
        <w:pStyle w:val="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оксалаты: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ЭКГ, 18.03.2011 г.: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ЧСС 78 уд/мин, синусовый ритм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Зубец Р - 0.10 (норма - 0.10 и менее)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Интревал PQ - 0.15 (норма - 0.12 - 0.20)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QRS - 0.10 (норма - 0.08 -</w:t>
      </w:r>
      <w:r>
        <w:rPr>
          <w:sz w:val="28"/>
          <w:szCs w:val="28"/>
          <w:lang w:val="ru-RU"/>
        </w:rPr>
        <w:t xml:space="preserve"> 0.10)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Интервал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>Т - 0.34 (норма - до 0.42)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синусовый ритм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нормальное положение ЭОС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Анализ кала, 22.03.2011 г.: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 яйца гельминтов, скрытую кровь)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Яйца глистов не обнаружено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УЗИ органов брюшной полости, 22.04.2011 г.: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 не увеличена, с четкими ровным</w:t>
      </w:r>
      <w:r>
        <w:rPr>
          <w:sz w:val="28"/>
          <w:szCs w:val="28"/>
          <w:lang w:val="ru-RU"/>
        </w:rPr>
        <w:t>и контурами, обычной эхогенности, однородной эхоструктуры. Сосудистый рисунок не изменен.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Желчный пузырь обычных размеров, формы и положения, стенки его не изменены, содержимое гомогенно. Холедох не расширен. Поджелудочная железа в размерах не увеличена, с</w:t>
      </w:r>
      <w:r>
        <w:rPr>
          <w:sz w:val="28"/>
          <w:szCs w:val="28"/>
          <w:lang w:val="ru-RU"/>
        </w:rPr>
        <w:t xml:space="preserve"> четкими ровными контурами, нормальной эхогенности, однородной эхоструктуры. Селезеночная вена не расширена.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обычной формы и положения, подвижны. Полостная система обеих почек не расширена, неоднородна. Конкременты не определяются. Надпочечники не ло</w:t>
      </w:r>
      <w:r>
        <w:rPr>
          <w:sz w:val="28"/>
          <w:szCs w:val="28"/>
          <w:lang w:val="ru-RU"/>
        </w:rPr>
        <w:t>цируются, в их проекции дополнительных образований не обнаружено.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Селезенка в размерах не изменена, с четкими ровными контурами, нормальной эхогенности, однородной эхоструктуры.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Мочевой пузырь не наполнен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Щитовидная железа не увеличена, с четкими ровными к</w:t>
      </w:r>
      <w:r>
        <w:rPr>
          <w:sz w:val="28"/>
          <w:szCs w:val="28"/>
          <w:lang w:val="ru-RU"/>
        </w:rPr>
        <w:t>онтурами, обычной эхогенности и эхоструктуры.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Эзофагогастродуоденоскопия, 22.04.2011 г.: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пищевода розовая, розетка кардии смыкается хорошо, зубчатая линия не смещена. В желудке красноватая слизистая с равномерно и умеренно извитыми и отечными скл</w:t>
      </w:r>
      <w:r>
        <w:rPr>
          <w:sz w:val="28"/>
          <w:szCs w:val="28"/>
          <w:lang w:val="ru-RU"/>
        </w:rPr>
        <w:t>адками. Активная перистальтика и правильное формирование выходного отдела желудка. Луковица 12перстной кишки правильной формы, слизистая ее и нисходящего отдела 12перстной кишки отечна и равномерно гиперемирована. В луковице 12перстной кишки - мелкие остры</w:t>
      </w:r>
      <w:r>
        <w:rPr>
          <w:sz w:val="28"/>
          <w:szCs w:val="28"/>
          <w:lang w:val="ru-RU"/>
        </w:rPr>
        <w:t>е белесоватые эрозии. Фателярная зона не изменена. Большой дуоденальный сосочек холмовидной формы. Устье его расположено центрально. Желчь в просвет кишки не поступала.</w:t>
      </w:r>
    </w:p>
    <w:p w:rsidR="00000000" w:rsidRDefault="00E91CAD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Дифференциальный диагноз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гастродуоденит следует дифференцировать, прежде</w:t>
      </w:r>
      <w:r>
        <w:rPr>
          <w:sz w:val="28"/>
          <w:szCs w:val="28"/>
          <w:lang w:val="ru-RU"/>
        </w:rPr>
        <w:t xml:space="preserve"> всего, с язвенной болезнью и функциональными расстройствами желудка. Диагноз основывается на эндоскопических и гистологических данных.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Предварительный диагноз и его обоснование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 диагноз: хронический гастродуоденит, обострение.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алобы больного на: изжогу, которая появляется периодически, чаще всего через час после еды, усиливается при физической нагрузке, при наклоне тела или в положении лежа. Обычно купируется приемом стакана воды или приемом антацидов (маалокс, альмагель); отрыж</w:t>
      </w:r>
      <w:r>
        <w:rPr>
          <w:sz w:val="28"/>
          <w:szCs w:val="28"/>
          <w:lang w:val="ru-RU"/>
        </w:rPr>
        <w:t xml:space="preserve">ку воздухом/кислым, которая часто усиливается после приема пищи, особенно во второй половине дня, и употребления газированных напитков. Иногда отрыжка сочетается со срыгиванием пищи, особенно при физическом напряжении, наклонах туловища, в положении лежа, </w:t>
      </w:r>
      <w:r>
        <w:rPr>
          <w:sz w:val="28"/>
          <w:szCs w:val="28"/>
          <w:lang w:val="ru-RU"/>
        </w:rPr>
        <w:t>во рту остается кислый привкус; сильные схваткообразные боли в эпигастральной области после погрешностей в диете или в положении лежа, чаще по ночам, иррадиирующие в область сердца, усиливающиеся после приема пищи через 15-20 минут, стихают боли после прие</w:t>
      </w:r>
      <w:r>
        <w:rPr>
          <w:sz w:val="28"/>
          <w:szCs w:val="28"/>
          <w:lang w:val="ru-RU"/>
        </w:rPr>
        <w:t>ма антацидных средств, после смены положения тела, уменьшаются после ходьбы, ощущение тяжести в желудке.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анамнеза заболевания: в октябре 2010 г., появились сильные схваткообразные ноющие боли в эпигастральной области, иррадиирующие в область сердца,</w:t>
      </w:r>
      <w:r>
        <w:rPr>
          <w:sz w:val="28"/>
          <w:szCs w:val="28"/>
          <w:lang w:val="ru-RU"/>
        </w:rPr>
        <w:t xml:space="preserve"> усиливающиеся после приема пищи через 15-20 минут; отрыжку кислым, изжогу (в основном, после еды и в положении лёжа),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анамнеза жизни: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работы предрасполагали к развитию заболеваний желудочно-кишечного тракта, так как больной, в связи с харак</w:t>
      </w:r>
      <w:r>
        <w:rPr>
          <w:sz w:val="28"/>
          <w:szCs w:val="28"/>
          <w:lang w:val="ru-RU"/>
        </w:rPr>
        <w:t>тером выполняемой работы, получал нерегулярное питание;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объективного обследования: при поверхностной пальпации умеренная болезненность в эпигастральной области; можно поставить диагноз: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гастродуоденит, обострение.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(синдромный) и</w:t>
      </w:r>
      <w:r>
        <w:rPr>
          <w:b/>
          <w:bCs/>
          <w:sz w:val="28"/>
          <w:szCs w:val="28"/>
          <w:lang w:val="ru-RU"/>
        </w:rPr>
        <w:t xml:space="preserve"> его обоснование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гастродуоденит, обострение.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жалоб на: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изжогу, которая появляется периодически, чаще всего через час после еды, усиливается при физической нагрузке, при наклоне тела или в положении лежа. Обычно купируется приемом </w:t>
      </w:r>
      <w:r>
        <w:rPr>
          <w:sz w:val="28"/>
          <w:szCs w:val="28"/>
          <w:lang w:val="ru-RU"/>
        </w:rPr>
        <w:t>стакана воды или приемом антацидов (маалокс, альмагель);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отрыжку воздухом/кислым, которая часто усиливается после приема пищи, особенно во второй половине дня, и употребления газированных напитков. Иногда отрыжка сочетается со срыгиванием пищи, особенно пр</w:t>
      </w:r>
      <w:r>
        <w:rPr>
          <w:sz w:val="28"/>
          <w:szCs w:val="28"/>
          <w:lang w:val="ru-RU"/>
        </w:rPr>
        <w:t>и физическом напряжении, наклонах туловища, в положении лежа. Во рту остается кислый привкус.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сильные схваткообразные боли в эпигастральной области после погрешностей в диете или в положении лежа, чаще по ночам, иррадиирующие в область сердца, усиливающиес</w:t>
      </w:r>
      <w:r>
        <w:rPr>
          <w:sz w:val="28"/>
          <w:szCs w:val="28"/>
          <w:lang w:val="ru-RU"/>
        </w:rPr>
        <w:t>я после приема пищи через 15-20 минут, стихают боли после приема антацидных средств, после смены положения тела, уменьшаются после ходьбы, ощущение тяжести в желудке.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данных лабораторных и инструментальных методов: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2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анализа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4,78 млн/мкл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3,4-5,1 млн/мкл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 г/л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120-160 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Цветной 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0,85-1,05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5,63 * 10/л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3,2 - 10,2 * 10/л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0- 5%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Нейтрофилы: палочкоядерные сегментоядерные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8% 61%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1-6% 42-72%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19-37%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3-11%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час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1CA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2-10 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час</w:t>
            </w:r>
          </w:p>
        </w:tc>
      </w:tr>
    </w:tbl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Заключение: Хронический гастродуоденит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 и патогенез данного заболевания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этиологически значимых факторов, способствующих развитию патологии гастродуоденальной зоны, трудно выдел</w:t>
      </w:r>
      <w:r>
        <w:rPr>
          <w:sz w:val="28"/>
          <w:szCs w:val="28"/>
          <w:lang w:val="ru-RU"/>
        </w:rPr>
        <w:t>ить главенствующие. Одни и те же причины могут выступать как в роли разрешающих, так и предрасполагающих факторов в различных ситуациях. Это находит свое отражение в особенностях клинической картины, характера течения болезни, ее длительности.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Ведущие этио</w:t>
      </w:r>
      <w:r>
        <w:rPr>
          <w:sz w:val="28"/>
          <w:szCs w:val="28"/>
          <w:lang w:val="ru-RU"/>
        </w:rPr>
        <w:t xml:space="preserve">логические факторы условно можно разделить на экзогенные, эндогенные и наследственно-конституциональные. 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зкзогенным факторам относят: диетологические погрешности, психотравмирующие и стрессорные ситуации, прием некоторых лекарственных препаратов и др. 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Длительные нарушения режима и качества питания (редкие или частые приемы пищи, неравномерные интервалы между ними, неполноценное питание), употребление продуктов, механически и химически раздражающих гастродуоденальную слизистую оболочку, еда всухомятку, п</w:t>
      </w:r>
      <w:r>
        <w:rPr>
          <w:sz w:val="28"/>
          <w:szCs w:val="28"/>
          <w:lang w:val="ru-RU"/>
        </w:rPr>
        <w:t>лохое разжевывание пищи не редкость у современных детей. Примесь в продуктах питания химических веществ, употребление рафинированных продуктов, обладающих низкой буферной емкостью, уменьшают способность связывания избытка НСl в желудке, усиливая, тем самым</w:t>
      </w:r>
      <w:r>
        <w:rPr>
          <w:sz w:val="28"/>
          <w:szCs w:val="28"/>
          <w:lang w:val="ru-RU"/>
        </w:rPr>
        <w:t xml:space="preserve">, ее повреждающее действие на слизистую оболочку желудка. 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значение придается недостатку в пище веществ, необходимых для физиологической регенерации и восстановления "железистого аппарата" слизистая оболочка желудка - железа, витаминов, микроэлемен</w:t>
      </w:r>
      <w:r>
        <w:rPr>
          <w:sz w:val="28"/>
          <w:szCs w:val="28"/>
          <w:lang w:val="ru-RU"/>
        </w:rPr>
        <w:t>тов, белка.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Длительный или беспорядочный прием медикаментов (салицилатов, сульфаниламидов, антибиотиков, глюкокортикоидов) также приводит к выраженным структурным изменениям слизистой оболочки желудка и двенадцатиперстной кишки. 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Неблагоприятная экологичес</w:t>
      </w:r>
      <w:r>
        <w:rPr>
          <w:sz w:val="28"/>
          <w:szCs w:val="28"/>
          <w:lang w:val="ru-RU"/>
        </w:rPr>
        <w:t>кая обстановка способствует тому, что органы ЖКТ часто оказываются центральным органом-мишенью и вовлекаются в патологический процесс. Эпидемиологические исследования, проведенные в экологически неблагоприятных районах, показали, что частота выявления гаст</w:t>
      </w:r>
      <w:r>
        <w:rPr>
          <w:sz w:val="28"/>
          <w:szCs w:val="28"/>
          <w:lang w:val="ru-RU"/>
        </w:rPr>
        <w:t>родуоденальной патологии в 3 раза превышает таковую в "спокойных" регионах.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Нервно-психические перегрузки, психотравмирующие ситуации приводят к нейросоматическим нарушениям в системе целостного организма и развитию болезни.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эндогенных факторов наибо</w:t>
      </w:r>
      <w:r>
        <w:rPr>
          <w:sz w:val="28"/>
          <w:szCs w:val="28"/>
          <w:lang w:val="ru-RU"/>
        </w:rPr>
        <w:t>льшее значение придается нервно-рефлекторным воздействиям на желудок и ДПК со стороны других пораженных органов пищеварения: желчного пузыря и печени, поджелудочной железы и кишечника. Их патологическое влияние реализуется рефлекторно через нервную и эндок</w:t>
      </w:r>
      <w:r>
        <w:rPr>
          <w:sz w:val="28"/>
          <w:szCs w:val="28"/>
          <w:lang w:val="ru-RU"/>
        </w:rPr>
        <w:t>ринную системы (по принципу обратной связи). Нарушается регуляция гастродуоденальной системы, возникает дисбаланс нейропептидов APUD-системы и дискоординация секреторной, двигательной функций желудка и 12перстной кишки.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значение придается аллергиче</w:t>
      </w:r>
      <w:r>
        <w:rPr>
          <w:sz w:val="28"/>
          <w:szCs w:val="28"/>
          <w:lang w:val="ru-RU"/>
        </w:rPr>
        <w:t>ским, токсико-метаболическим, нервно-дистрофическим нарушениям.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факторов риска развития хронического гастродуоденита большое значение имеют перенесенные и сопутствующие инфекционные и глистно-паразитарные заболевания.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Последние двадцать лет в гастроэ</w:t>
      </w:r>
      <w:r>
        <w:rPr>
          <w:sz w:val="28"/>
          <w:szCs w:val="28"/>
          <w:lang w:val="ru-RU"/>
        </w:rPr>
        <w:t xml:space="preserve">нтерологии проходят под знаком </w:t>
      </w:r>
      <w:r>
        <w:rPr>
          <w:b/>
          <w:bCs/>
          <w:sz w:val="28"/>
          <w:szCs w:val="28"/>
          <w:lang w:val="ru-RU"/>
        </w:rPr>
        <w:t>Helicobacter pylor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-инфекции. Значимость этого инфекционного фактора признается большинством врачей.pylor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человека представляет изогнутую, чаще S-образную бактерию длиной 2,5-5 мкм и шириной 0,1-1 мкм с закругленными концами</w:t>
      </w:r>
      <w:r>
        <w:rPr>
          <w:sz w:val="28"/>
          <w:szCs w:val="28"/>
          <w:lang w:val="ru-RU"/>
        </w:rPr>
        <w:t>, имеющую плотную и гладкую оболочку. На одном конце бактериальной клетки располагаются 4-6 жгутиков длиной 10 мкм. В неактивной форме бактерии представлены в виде кокков. В настоящее время уже описано около 40 серотипов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, имеющих различ</w:t>
      </w:r>
      <w:r>
        <w:rPr>
          <w:sz w:val="28"/>
          <w:szCs w:val="28"/>
          <w:lang w:val="ru-RU"/>
        </w:rPr>
        <w:t>ную чувствительность к антибактериальным препаратам и различные зоны преимущественного обитания. Основные места обитания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- слизистая оболочка антрального отдела желудка и метаплазированный пилорический эпителий в ДПК. Этим обьясняется р</w:t>
      </w:r>
      <w:r>
        <w:rPr>
          <w:sz w:val="28"/>
          <w:szCs w:val="28"/>
          <w:lang w:val="ru-RU"/>
        </w:rPr>
        <w:t>азвитие у инфицированных антрум-гастрита и бульбита. В то же время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может обнаруживаться и в других отделах желудка, включая кардию, что приводит к появлению диффузного гастрита.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 носительство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у практически </w:t>
      </w:r>
      <w:r>
        <w:rPr>
          <w:sz w:val="28"/>
          <w:szCs w:val="28"/>
          <w:lang w:val="ru-RU"/>
        </w:rPr>
        <w:t>здоровых людей, что, вероятно, связано с заселением слизистой оболочки желудка слабовирулентными штаммами или уменьшением количества рецепторов на его поверхности, способствующих адгезии микроорганизма.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 xml:space="preserve"> хронического гастродуоденита многогранен. В</w:t>
      </w:r>
      <w:r>
        <w:rPr>
          <w:sz w:val="28"/>
          <w:szCs w:val="28"/>
          <w:lang w:val="ru-RU"/>
        </w:rPr>
        <w:t xml:space="preserve">озникновение заболевания может рассматриваться как срыв компенсаторно-приспособительных механизмов организма, как результат нарушения равновесия факторов агрессии и защиты слизистой оболочки желудка и 12перстной кишки (подробнее об этом сказано в разделе, </w:t>
      </w:r>
      <w:r>
        <w:rPr>
          <w:sz w:val="28"/>
          <w:szCs w:val="28"/>
          <w:lang w:val="ru-RU"/>
        </w:rPr>
        <w:t>посвященном язвенной болезни). В происхождении хронического гастродуоденита решающее значение имеет нарушение гипоталамо-гипофизарно-гастродуоденальной оси. Взаимосвязь нервной системы и ЖКТ объяснима с учетом как нейрорефлекгорных, так и гормональных влия</w:t>
      </w:r>
      <w:r>
        <w:rPr>
          <w:sz w:val="28"/>
          <w:szCs w:val="28"/>
          <w:lang w:val="ru-RU"/>
        </w:rPr>
        <w:t>ний, так как многие гормоны мозга идентичны гастроинтестинальным гормонам, оказывающим широкий спектр действия на различные функции желудка и 12перстной кишки.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Патогенетическая роль при гастродуоденальной патологии обьясняется повреждающим действием бактер</w:t>
      </w:r>
      <w:r>
        <w:rPr>
          <w:sz w:val="28"/>
          <w:szCs w:val="28"/>
          <w:lang w:val="ru-RU"/>
        </w:rPr>
        <w:t>ий на слизистую оболочку желудка. Внедряясь в слой слизи,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прикрепляется к эпителиальным клеткам, проникает в крипты и железы желудка, разрушая защитный слой слизистой оболочки желудка и обеспечивая доступ желудочного сока к тканям. В ре</w:t>
      </w:r>
      <w:r>
        <w:rPr>
          <w:sz w:val="28"/>
          <w:szCs w:val="28"/>
          <w:lang w:val="ru-RU"/>
        </w:rPr>
        <w:t>зультате внедрения Helicobacter 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возникает воспалительный процесс собственной пластинки слизистой облочки. Это, в свою очередь, приводит к несостоятельности слизисто-бикарбонатного барьера, что даже при нормальной кислотности создает условия для повр</w:t>
      </w:r>
      <w:r>
        <w:rPr>
          <w:sz w:val="28"/>
          <w:szCs w:val="28"/>
          <w:lang w:val="ru-RU"/>
        </w:rPr>
        <w:t>еждения эпителия слизистой оболочки на фоне угнетения репаративных процессов. В то же время уреаза, вырабатываемая микроорганизмом, создает вокруг самых бактерий защитный слой, что тормозит фагоцитоз.pylor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, обитающие на поверхности слизистой оболочки, с </w:t>
      </w:r>
      <w:r>
        <w:rPr>
          <w:sz w:val="28"/>
          <w:szCs w:val="28"/>
          <w:lang w:val="ru-RU"/>
        </w:rPr>
        <w:t>помощью уреазы расщепляют мочевину, в результате чего образуются аммиак и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которые не только нейтрализуют соляную кислоту, но и могут непосредственно воздействовать на рецепторный аппарат G-клеток. В результате этого нарушается механизм отрицательной о</w:t>
      </w:r>
      <w:r>
        <w:rPr>
          <w:sz w:val="28"/>
          <w:szCs w:val="28"/>
          <w:lang w:val="ru-RU"/>
        </w:rPr>
        <w:t>братной связи и стимулируется секреция гастрина. Гипергастринемия, в свою очередь, ведет к гиперсекреции соляной кислоты. Из этого следует, что с хеликобактерным гастритом связано не только ослабление защитных механизмов слизистой оболочки, но и усиление "</w:t>
      </w:r>
      <w:r>
        <w:rPr>
          <w:sz w:val="28"/>
          <w:szCs w:val="28"/>
          <w:lang w:val="ru-RU"/>
        </w:rPr>
        <w:t>агрессивных" свойств желудочного сока. Таким образом, приведенные выше данные демонстрируют, что хронический гастродуоденит - это мультифакториальное заболевание со сложным патогенезом.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 хронического гастродуоденита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лечении обострения хроническо</w:t>
      </w:r>
      <w:r>
        <w:rPr>
          <w:sz w:val="28"/>
          <w:szCs w:val="28"/>
          <w:lang w:val="ru-RU"/>
        </w:rPr>
        <w:t>го гастродуоденита важное место занимает диета. Пища должна быть механически, химически и термически щадящей. Рекомендуется регулярный ее прием, желательно в одно и то же время, не реже 4-5 раз в день. Питание должно быть полноценным, содержать достаточное</w:t>
      </w:r>
      <w:r>
        <w:rPr>
          <w:sz w:val="28"/>
          <w:szCs w:val="28"/>
          <w:lang w:val="ru-RU"/>
        </w:rPr>
        <w:t xml:space="preserve"> количество белка, витаминов, микроэлементов. Исключают грубую клетчатку, блюда из баранины и свинины, жареное, грибы, свежую выпечку и черный хлеб, кофе, шоколад, крепкий чай, газированные напитки, жевательную резинку. При повышенной секреторной функции ж</w:t>
      </w:r>
      <w:r>
        <w:rPr>
          <w:sz w:val="28"/>
          <w:szCs w:val="28"/>
          <w:lang w:val="ru-RU"/>
        </w:rPr>
        <w:t>елудка не рекомендуют также наваристые бульоны, кислые соки и фрукты, широко используют молоко и молочные продукты, разваренные каши (диета №1). При пониженной секреторной функции можно использовать наваристые бульоны и супы, овощные салаты, показаны кислы</w:t>
      </w:r>
      <w:r>
        <w:rPr>
          <w:sz w:val="28"/>
          <w:szCs w:val="28"/>
          <w:lang w:val="ru-RU"/>
        </w:rPr>
        <w:t>е соки, кисломолочные продукты (диета №2).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Медикаментозная терапия в период обострения направлена на коррекцию секреторных нарушений, эрадикацию Нр, улучшение обменных процессов в слизистой оболочке, ликвидацию дисмоторики, нормализацию нейровегетативного </w:t>
      </w:r>
      <w:r>
        <w:rPr>
          <w:sz w:val="28"/>
          <w:szCs w:val="28"/>
          <w:lang w:val="ru-RU"/>
        </w:rPr>
        <w:t>статуса.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Коррекция желудочной гиперсекреции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Невсасывающиеся антациды, которые нейтрализуют соляную кислоту, адсорбируют пепсины и желчные кислоты: альмагель, гелюсил-лак, гастал, магальдрат и т. д. Препарат в виде геля (1 дозировочная ложка) или размель</w:t>
      </w:r>
      <w:r>
        <w:rPr>
          <w:sz w:val="28"/>
          <w:szCs w:val="28"/>
          <w:lang w:val="ru-RU"/>
        </w:rPr>
        <w:t>ченной таблетки (можно сосать) принимают 3-4 раза в день через час после еды и на ночь, курс составляет 3-4 нед.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Более мощным антисекреторным действием обладают Н2-гистаминоблокатры (ранитидин, фамотидин, низатидин, роксатидин), которые принимают 1-2 раз</w:t>
      </w:r>
      <w:r>
        <w:rPr>
          <w:sz w:val="28"/>
          <w:szCs w:val="28"/>
          <w:lang w:val="ru-RU"/>
        </w:rPr>
        <w:t>а в день (утром и на ночь) по -1 таблетке в течение 1-2 нед.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Самое сильное антисекреторное воздействие имеют ингибиторы кислотного насоса Н+К+АТФазы) - омепразол, пантопразол, ланцепразол. Эти препараты принимают однократно в день (утром или на ночь) в т</w:t>
      </w:r>
      <w:r>
        <w:rPr>
          <w:sz w:val="28"/>
          <w:szCs w:val="28"/>
          <w:lang w:val="ru-RU"/>
        </w:rPr>
        <w:t>ечение 2 нед.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При повышении преимущественно базальной желудочной секреции показано назначение холинолитиков, предпочтительно - селективных, действующих только на М1-холинорецепторы ЖКТ - гастроцепин, телензепин, по -1 таблетке 2 раза в день за 30 мин до </w:t>
      </w:r>
      <w:r>
        <w:rPr>
          <w:sz w:val="28"/>
          <w:szCs w:val="28"/>
          <w:lang w:val="ru-RU"/>
        </w:rPr>
        <w:t>еды 2-3 нед.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Антихеликобактериозная терапия. Мировой опыт лечения хеликобактериоза показал неэффективность монотерапии, поэтому в настоящее время для эрадикации Нр используют двойные, тройные и четверные схемы терапии.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Тройная схема: включает коллоидный </w:t>
      </w:r>
      <w:r>
        <w:rPr>
          <w:sz w:val="28"/>
          <w:szCs w:val="28"/>
          <w:lang w:val="ru-RU"/>
        </w:rPr>
        <w:t>субцитрат висмута (КСВ) в виде де-нола, трибимола или вентрисола по 1 табл. (120 мг) 3-4 раза в день за 30 мин до еды + антибиотик (АБ): амоксициллин из расчета 50 мг/кг в сутки в 3 дозах или кларитромицин 15мг/кг или сумамед 10 мг/кг в сутки (затем 5 мг/к</w:t>
      </w:r>
      <w:r>
        <w:rPr>
          <w:sz w:val="28"/>
          <w:szCs w:val="28"/>
          <w:lang w:val="ru-RU"/>
        </w:rPr>
        <w:t>г) + метронидазол (трихопол) из расчета 15 мг/кг в сутки в 3 приема после еды. Продолжительность курса 2 нед. Эта схема предпочтительна при Нр-ассоциированных гастродуоденитах с нормальной секреторной функцией.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Двойная схема: включает блокатор Н+К+АТФазы</w:t>
      </w:r>
      <w:r>
        <w:rPr>
          <w:sz w:val="28"/>
          <w:szCs w:val="28"/>
          <w:lang w:val="ru-RU"/>
        </w:rPr>
        <w:t xml:space="preserve"> (омепразол, ланцепразол, пантопразол) однократно на ночь из расчета 1-2 мг/кг, обычно по 1 капс. + антибиотик (АБ): амоксициллин, кларитромицин или сумамед. Продолжительность курса 2 нед. Схема показана при Нр-ассоциированных гастродуоденитах с повышенной</w:t>
      </w:r>
      <w:r>
        <w:rPr>
          <w:sz w:val="28"/>
          <w:szCs w:val="28"/>
          <w:lang w:val="ru-RU"/>
        </w:rPr>
        <w:t xml:space="preserve"> секреторной функцией, дает меньше побочных реакций, чем тройная схема, так как не содержит трихопол.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Четверная схема: включает омепразол + КСВ + АБ + трихопол в указанных выше дозах, особенность этой схемы - меньшая продолжительность курса - 7 дней, в с</w:t>
      </w:r>
      <w:r>
        <w:rPr>
          <w:sz w:val="28"/>
          <w:szCs w:val="28"/>
          <w:lang w:val="ru-RU"/>
        </w:rPr>
        <w:t>илу чего она дает меньше побочных реакций. Схема показана при эрозивных Нр-ассоциированных гастродуоденитах с повышенной секреторной функцией. По Маастрихтскому соглашению (1996) для ирадикации хелинобактериоза рекомендуют семидневный курс сочетания пилори</w:t>
      </w:r>
      <w:r>
        <w:rPr>
          <w:sz w:val="28"/>
          <w:szCs w:val="28"/>
          <w:lang w:val="ru-RU"/>
        </w:rPr>
        <w:t>да (ранитидин-висмут цитрат), кларитромицина и метронидазола.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Коррекция моторных нарушений.</w:t>
      </w:r>
      <w:r>
        <w:rPr>
          <w:sz w:val="28"/>
          <w:szCs w:val="28"/>
          <w:lang w:val="ru-RU"/>
        </w:rPr>
        <w:t xml:space="preserve"> Болевой синдром при обострении гастродуоденита часто обусловлен сопутствующим спазмом и усиленной перистальтикой желудка. На этом фоне показано назначение спазмалит</w:t>
      </w:r>
      <w:r>
        <w:rPr>
          <w:sz w:val="28"/>
          <w:szCs w:val="28"/>
          <w:lang w:val="ru-RU"/>
        </w:rPr>
        <w:t>иков гладкой мускулатуры (но-шпа, папаверин, галидор) по -1 таблетке 3 раза в день, холинолитиков с преимущественным спазмолитическим действием (платифиллин, бускопан, метацин, беллоид) по -1 таблетке 3 раз до еды.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патологических рефлюксов (дуо</w:t>
      </w:r>
      <w:r>
        <w:rPr>
          <w:sz w:val="28"/>
          <w:szCs w:val="28"/>
          <w:lang w:val="ru-RU"/>
        </w:rPr>
        <w:t>дено-гастрального, гастро-эзофагального) показаны прокинетики: церукал, мотилиум по 1 мг/кг в сутки в 3 приема за 30 мин до еды; цизаприд/препульсид, координакс (0,4-0,5 мг/кг в сутки за 30 мин до еды). Курс 10-14 дней.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Улучшение обменных процессов в слизи</w:t>
      </w:r>
      <w:r>
        <w:rPr>
          <w:b/>
          <w:bCs/>
          <w:sz w:val="28"/>
          <w:szCs w:val="28"/>
          <w:lang w:val="ru-RU"/>
        </w:rPr>
        <w:t>стой оболочке.</w:t>
      </w:r>
      <w:r>
        <w:rPr>
          <w:sz w:val="28"/>
          <w:szCs w:val="28"/>
          <w:lang w:val="ru-RU"/>
        </w:rPr>
        <w:t xml:space="preserve"> При наличии атрофических изменений, особенно в области главных желудочных желез, показано назначение витаминов В1, В2, В3, В5, В6, В12, фолиевой кислоты, А и Е. Обычно назначают поливитаминные комплексы с микроэлементами (юникап, супрадин, о</w:t>
      </w:r>
      <w:r>
        <w:rPr>
          <w:sz w:val="28"/>
          <w:szCs w:val="28"/>
          <w:lang w:val="ru-RU"/>
        </w:rPr>
        <w:t xml:space="preserve">лиговит, компливит и т. д.). Показаны мембраностабилизирующие препараты: эссенциале-форте, липостабил по 1 капсуле 3 раза после еды; биостимуляторы обменных процессов: карнитина хлорид 20% по 20-40 кап. 3 раза, милдронат по 1 табл. 3 раза, бетаин, апилак, </w:t>
      </w:r>
      <w:r>
        <w:rPr>
          <w:sz w:val="28"/>
          <w:szCs w:val="28"/>
          <w:lang w:val="ru-RU"/>
        </w:rPr>
        <w:t>40% раствор прополиса (1 капсула на год жизни 2-3 раза в день до еды в молоке), мумие (0,2 г в молоке 2 раза в день). Курс лечения обычно длится около месяца.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субремиссии и ремиссии хронического гастродуоденита может проводиться фитотерапия, при э</w:t>
      </w:r>
      <w:r>
        <w:rPr>
          <w:sz w:val="28"/>
          <w:szCs w:val="28"/>
          <w:lang w:val="ru-RU"/>
        </w:rPr>
        <w:t>том формируются сборы из противовоспалительных (ромашка, зверобой, календула), вяжущих (корень аира, солодки, кора дуба), стимулирующих (плоды шиповника, трава тысячелистника, листья подорожника) трав, заваривают 1: 10, пьют по - стакана за 15-20 мин до ед</w:t>
      </w:r>
      <w:r>
        <w:rPr>
          <w:sz w:val="28"/>
          <w:szCs w:val="28"/>
          <w:lang w:val="ru-RU"/>
        </w:rPr>
        <w:t>ы 3 раза в день на протяжении 3-4 нед.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Физиотерапия является дополнительным методом лечения хронического гастродуоденита, выбор ее зависит от стадии заболевания. В период обострения показаны: электрофорез с платифиллином или новокаином на эпигастрий, элект</w:t>
      </w:r>
      <w:r>
        <w:rPr>
          <w:sz w:val="28"/>
          <w:szCs w:val="28"/>
          <w:lang w:val="ru-RU"/>
        </w:rPr>
        <w:t>рофорез с кальцием или бромом на воротниковую область, электросон, трансаир. В период субремиссии показаны СМВ и ДМВ, УЗ на эпигастрий, лазеротерапия на максимально болезненную зону. В период ремиссии назначают глубокие прогревания парафином, озокеритом, г</w:t>
      </w:r>
      <w:r>
        <w:rPr>
          <w:sz w:val="28"/>
          <w:szCs w:val="28"/>
          <w:lang w:val="ru-RU"/>
        </w:rPr>
        <w:t>рязи на эпигастральную область.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Санаторно-курортное лечение проводится в местных бальнеологических санаториях или на курортах Кавказских Минеральных Вод. Рекомендуются минеральные воды слабой минерализации: славяновская, ¦смирновская, ¦ессентуки № 4, ¦арзн</w:t>
      </w:r>
      <w:r>
        <w:rPr>
          <w:sz w:val="28"/>
          <w:szCs w:val="28"/>
          <w:lang w:val="ru-RU"/>
        </w:rPr>
        <w:t>и¦ и т. д. из расчета 3 мл/кг 3 раза в день, при повышенной секреторной функции - за 1-1,5 час до еды в теплом виде, при пониженной секреторной функции - за 15-20 мин до еды, при нормальной секреции вода комнатной температуры - за 45 мин до еды. Курс лечен</w:t>
      </w:r>
      <w:r>
        <w:rPr>
          <w:sz w:val="28"/>
          <w:szCs w:val="28"/>
          <w:lang w:val="ru-RU"/>
        </w:rPr>
        <w:t>ия 3-4 нед. Назначают также минеральные ванны (серные, радоновые, углекислые), грязи на эпигастральную область, ЛФК.</w:t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 ведения больного и лечение: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Коагулологическое исследование плазмы;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кала на ге</w:t>
      </w:r>
      <w:r>
        <w:rPr>
          <w:sz w:val="28"/>
          <w:szCs w:val="28"/>
          <w:lang w:val="ru-RU"/>
        </w:rPr>
        <w:t>льминтов и скрытую кровь;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органов брюшной полости;</w:t>
      </w:r>
    </w:p>
    <w:p w:rsidR="00000000" w:rsidRDefault="00E91CAD">
      <w:pPr>
        <w:tabs>
          <w:tab w:val="left" w:pos="993"/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Эзофагогастродуоденоскопия.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Лечение: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№ 1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  <w:lang w:val="ru-RU"/>
        </w:rPr>
        <w:t>. Омез, 20мг, по 1 т. 2 раза в день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Омез относится к группе противоязвенных средств. Действие препарата начинается в течение ча</w:t>
      </w:r>
      <w:r>
        <w:rPr>
          <w:sz w:val="28"/>
          <w:szCs w:val="28"/>
          <w:lang w:val="ru-RU"/>
        </w:rPr>
        <w:t>са в тонкой кишке, затем активное вещество накапливается в париетальных клетках. Лекарственное средство подавляет выделение соляной кислоты в желудке. Эффект препарата наступает спустя 1,5-2 часа. Большая часть омепразола связывается с белками плазмы крови</w:t>
      </w:r>
      <w:r>
        <w:rPr>
          <w:sz w:val="28"/>
          <w:szCs w:val="28"/>
          <w:lang w:val="ru-RU"/>
        </w:rPr>
        <w:t>. Это вещество быстро всасывается и выводится с мочой и калом.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  <w:lang w:val="ru-RU"/>
        </w:rPr>
        <w:t>. Мотилиум, 10мг, по 1 т. 3 раза в день за 20 - 30минут до еды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Противорвотный препарат, стимулятор моторики ЖКТ. Домперидон - антагонист допамина, обладающий, аналогично метоклопрамиду и нек</w:t>
      </w:r>
      <w:r>
        <w:rPr>
          <w:sz w:val="28"/>
          <w:szCs w:val="28"/>
          <w:lang w:val="ru-RU"/>
        </w:rPr>
        <w:t>оторым нейролептикам, противорвотными свойствами. Однако в отличие от этих препаратов домперидон плохо проникает через ГЭБ. Применение домперидона редко сопровождается экстрапирамидными побочными эффектами, особенно у взрослых, но домперидон стимулирует вы</w:t>
      </w:r>
      <w:r>
        <w:rPr>
          <w:sz w:val="28"/>
          <w:szCs w:val="28"/>
          <w:lang w:val="ru-RU"/>
        </w:rPr>
        <w:t>деление пролактина из гипофиза. Противорвотное действие, возможно, обусловлено сочетанием периферического (гастрокинетического) действия и антагонизма к рецепторам допамина в триггерной зоне хеморецепторов.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приеме внутрь домперидон увеличивает продолжи</w:t>
      </w:r>
      <w:r>
        <w:rPr>
          <w:sz w:val="28"/>
          <w:szCs w:val="28"/>
          <w:lang w:val="ru-RU"/>
        </w:rPr>
        <w:t>тельность антральных и дуоденальных сокращений, ускоряет опорожнение желудка - выход жидких и полутвердых фракций у здоровых людей и твердых фракций у больных, в случае, когда этот процесс был замедлен, и повышает давление сфинктера нижнего отдела пищевода</w:t>
      </w:r>
      <w:r>
        <w:rPr>
          <w:sz w:val="28"/>
          <w:szCs w:val="28"/>
          <w:lang w:val="ru-RU"/>
        </w:rPr>
        <w:t xml:space="preserve"> у здоровых людей.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Домперидон не оказывает действия на желудочную секрецию.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Susp</w:t>
      </w:r>
      <w:r>
        <w:rPr>
          <w:sz w:val="28"/>
          <w:szCs w:val="28"/>
          <w:lang w:val="ru-RU"/>
        </w:rPr>
        <w:t>. Альмагель, по 30мл 3 - 4раза в день через 1,5 - 2 часа после еды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Антацидное, обволакивающее, адсорбирующее.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Алмагель нейтрализует соляную кислоту и уменьшает активность пепси</w:t>
      </w:r>
      <w:r>
        <w:rPr>
          <w:sz w:val="28"/>
          <w:szCs w:val="28"/>
          <w:lang w:val="ru-RU"/>
        </w:rPr>
        <w:t>на, желудочного сока, предохраняет слизистую оболочку ЖКТ от повреждающих воздействий.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Суспензия Алмагель равномерно распределяется по слизистой оболочке желудка и обеспечивает продолжительную гастропротекцию. Обладает буферно-антацидными свойствами: между</w:t>
      </w:r>
      <w:r>
        <w:rPr>
          <w:sz w:val="28"/>
          <w:szCs w:val="28"/>
          <w:lang w:val="ru-RU"/>
        </w:rPr>
        <w:t xml:space="preserve"> приемами pH желудочного сока сохраняется от 4-4,5 до 3,5-3,8. Сорбит оказывает желчегонное и легкое послабляющее действие. Терапевтический эффект проявляется через 3-5 мин и продолжается 70 мин.</w:t>
      </w:r>
    </w:p>
    <w:p w:rsidR="00000000" w:rsidRDefault="00E91CAD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91CAD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Используемая литература</w:t>
      </w:r>
    </w:p>
    <w:p w:rsidR="00000000" w:rsidRDefault="00E91CA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91CAD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Внутренние болезни, учебник в </w:t>
      </w:r>
      <w:r>
        <w:rPr>
          <w:sz w:val="28"/>
          <w:szCs w:val="28"/>
          <w:lang w:val="ru-RU"/>
        </w:rPr>
        <w:t>2т. под ред. А.И. Мартынова, «ГЭОТАР-МЕД» 2001г.;</w:t>
      </w:r>
    </w:p>
    <w:p w:rsidR="00000000" w:rsidRDefault="00E91CA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Ройтберг Г.Е., Струтынский А.В. Внутренние болезни. Система органов пищеварения.Москва. - «Издательство Бином» - 2005.</w:t>
      </w:r>
    </w:p>
    <w:p w:rsidR="00E91CAD" w:rsidRDefault="00E91CA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Ресурсы Интернета.</w:t>
      </w:r>
    </w:p>
    <w:sectPr w:rsidR="00E91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00"/>
    <w:rsid w:val="00361E00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4803</Words>
  <Characters>27382</Characters>
  <Application>Microsoft Office Word</Application>
  <DocSecurity>0</DocSecurity>
  <Lines>228</Lines>
  <Paragraphs>64</Paragraphs>
  <ScaleCrop>false</ScaleCrop>
  <Company/>
  <LinksUpToDate>false</LinksUpToDate>
  <CharactersWithSpaces>32121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2024-03-05T08:44:00Z</dcterms:created>
  <dcterms:modified xsi:type="dcterms:W3CDTF">2024-03-05T08:44:00Z</dcterms:modified>
</cp:coreProperties>
</file>