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1BC" w:rsidRDefault="008061BC">
      <w:pPr>
        <w:pStyle w:val="a4"/>
        <w:rPr>
          <w:sz w:val="24"/>
        </w:rPr>
      </w:pPr>
      <w:bookmarkStart w:id="0" w:name="_GoBack"/>
      <w:bookmarkEnd w:id="0"/>
      <w:r>
        <w:rPr>
          <w:sz w:val="24"/>
        </w:rPr>
        <w:t xml:space="preserve">Хронический </w:t>
      </w:r>
      <w:proofErr w:type="spellStart"/>
      <w:r>
        <w:rPr>
          <w:sz w:val="24"/>
        </w:rPr>
        <w:t>Холеоцистит</w:t>
      </w:r>
      <w:proofErr w:type="spellEnd"/>
    </w:p>
    <w:p w:rsidR="008061BC" w:rsidRDefault="008061BC">
      <w:pPr>
        <w:widowControl w:val="0"/>
        <w:spacing w:line="360" w:lineRule="auto"/>
        <w:ind w:right="-3565" w:firstLine="280"/>
        <w:rPr>
          <w:rFonts w:ascii="Arial" w:hAnsi="Arial"/>
          <w:snapToGrid w:val="0"/>
          <w:sz w:val="24"/>
        </w:rPr>
      </w:pPr>
    </w:p>
    <w:p w:rsidR="008061BC" w:rsidRDefault="008061BC">
      <w:pPr>
        <w:widowControl w:val="0"/>
        <w:spacing w:line="360" w:lineRule="auto"/>
        <w:ind w:right="-3565" w:firstLine="280"/>
        <w:rPr>
          <w:rFonts w:ascii="Arial" w:hAnsi="Arial"/>
          <w:snapToGrid w:val="0"/>
          <w:sz w:val="24"/>
        </w:rPr>
      </w:pPr>
    </w:p>
    <w:p w:rsidR="008061BC" w:rsidRDefault="008061BC">
      <w:pPr>
        <w:widowControl w:val="0"/>
        <w:spacing w:line="360" w:lineRule="auto"/>
        <w:ind w:right="-3565" w:firstLine="280"/>
        <w:rPr>
          <w:rFonts w:ascii="Arial" w:hAnsi="Arial"/>
          <w:snapToGrid w:val="0"/>
          <w:sz w:val="24"/>
        </w:rPr>
      </w:pPr>
    </w:p>
    <w:p w:rsidR="008061BC" w:rsidRDefault="008061BC">
      <w:pPr>
        <w:widowControl w:val="0"/>
        <w:spacing w:line="360" w:lineRule="auto"/>
        <w:ind w:right="-3565" w:firstLine="280"/>
        <w:rPr>
          <w:rFonts w:ascii="Arial" w:hAnsi="Arial"/>
          <w:snapToGrid w:val="0"/>
          <w:sz w:val="24"/>
        </w:rPr>
      </w:pPr>
      <w:r>
        <w:rPr>
          <w:rFonts w:ascii="Arial" w:hAnsi="Arial"/>
          <w:snapToGrid w:val="0"/>
          <w:sz w:val="24"/>
        </w:rPr>
        <w:t>Воспаление стенки желчного пузыря, вызванное длительным</w:t>
      </w:r>
      <w:r>
        <w:rPr>
          <w:rFonts w:ascii="Arial" w:hAnsi="Arial"/>
          <w:smallCaps/>
          <w:snapToGrid w:val="0"/>
          <w:sz w:val="24"/>
        </w:rPr>
        <w:t xml:space="preserve"> </w:t>
      </w:r>
      <w:r>
        <w:rPr>
          <w:rFonts w:ascii="Arial" w:hAnsi="Arial"/>
          <w:snapToGrid w:val="0"/>
          <w:sz w:val="24"/>
        </w:rPr>
        <w:t xml:space="preserve">раздражением либо камнем, либо повторяющимися острыми воспалительными процессами, либо бактериальной </w:t>
      </w:r>
      <w:proofErr w:type="spellStart"/>
      <w:r>
        <w:rPr>
          <w:rFonts w:ascii="Arial" w:hAnsi="Arial"/>
          <w:snapToGrid w:val="0"/>
          <w:sz w:val="24"/>
        </w:rPr>
        <w:t>персименцией</w:t>
      </w:r>
      <w:proofErr w:type="spellEnd"/>
      <w:r>
        <w:rPr>
          <w:rFonts w:ascii="Arial" w:hAnsi="Arial"/>
          <w:snapToGrid w:val="0"/>
          <w:sz w:val="24"/>
        </w:rPr>
        <w:t>.</w:t>
      </w:r>
    </w:p>
    <w:p w:rsidR="008061BC" w:rsidRDefault="008061BC">
      <w:pPr>
        <w:widowControl w:val="0"/>
        <w:spacing w:line="360" w:lineRule="auto"/>
        <w:ind w:right="-3565"/>
        <w:rPr>
          <w:rFonts w:ascii="Arial" w:hAnsi="Arial"/>
          <w:b/>
          <w:snapToGrid w:val="0"/>
          <w:sz w:val="24"/>
        </w:rPr>
      </w:pPr>
    </w:p>
    <w:p w:rsidR="008061BC" w:rsidRDefault="008061BC">
      <w:pPr>
        <w:widowControl w:val="0"/>
        <w:spacing w:line="360" w:lineRule="auto"/>
        <w:ind w:right="-3565"/>
        <w:rPr>
          <w:rFonts w:ascii="Arial" w:hAnsi="Arial"/>
          <w:b/>
          <w:snapToGrid w:val="0"/>
          <w:sz w:val="24"/>
        </w:rPr>
      </w:pPr>
    </w:p>
    <w:p w:rsidR="008061BC" w:rsidRDefault="008061BC">
      <w:pPr>
        <w:widowControl w:val="0"/>
        <w:spacing w:line="360" w:lineRule="auto"/>
        <w:ind w:left="720" w:right="-3565" w:firstLine="720"/>
        <w:rPr>
          <w:rFonts w:ascii="Arial" w:hAnsi="Arial"/>
          <w:b/>
          <w:snapToGrid w:val="0"/>
          <w:sz w:val="24"/>
        </w:rPr>
      </w:pPr>
      <w:r>
        <w:rPr>
          <w:rFonts w:ascii="Arial" w:hAnsi="Arial"/>
          <w:b/>
          <w:snapToGrid w:val="0"/>
          <w:sz w:val="24"/>
        </w:rPr>
        <w:t>Патогенез.</w:t>
      </w:r>
    </w:p>
    <w:p w:rsidR="008061BC" w:rsidRDefault="008061BC">
      <w:pPr>
        <w:widowControl w:val="0"/>
        <w:spacing w:line="360" w:lineRule="auto"/>
        <w:ind w:left="720" w:right="-3565" w:firstLine="720"/>
        <w:rPr>
          <w:rFonts w:ascii="Arial" w:hAnsi="Arial"/>
          <w:b/>
          <w:snapToGrid w:val="0"/>
          <w:sz w:val="24"/>
        </w:rPr>
      </w:pPr>
    </w:p>
    <w:p w:rsidR="008061BC" w:rsidRDefault="008061BC">
      <w:pPr>
        <w:widowControl w:val="0"/>
        <w:spacing w:line="360" w:lineRule="auto"/>
        <w:ind w:right="-3565" w:firstLine="720"/>
        <w:rPr>
          <w:rFonts w:ascii="Arial" w:hAnsi="Arial"/>
          <w:snapToGrid w:val="0"/>
          <w:sz w:val="24"/>
        </w:rPr>
      </w:pPr>
      <w:r>
        <w:rPr>
          <w:rFonts w:ascii="Arial" w:hAnsi="Arial"/>
          <w:snapToGrid w:val="0"/>
          <w:sz w:val="24"/>
        </w:rPr>
        <w:t>К хроническому холециститу</w:t>
      </w:r>
      <w:r>
        <w:rPr>
          <w:rFonts w:ascii="Arial" w:hAnsi="Arial"/>
          <w:noProof/>
          <w:snapToGrid w:val="0"/>
          <w:sz w:val="24"/>
        </w:rPr>
        <w:t xml:space="preserve"> (XX)</w:t>
      </w:r>
      <w:r>
        <w:rPr>
          <w:rFonts w:ascii="Arial" w:hAnsi="Arial"/>
          <w:snapToGrid w:val="0"/>
          <w:sz w:val="24"/>
        </w:rPr>
        <w:t xml:space="preserve"> ведут застой желчи и изменение ее физико-химических свойств. К такой и</w:t>
      </w:r>
      <w:bookmarkStart w:id="1" w:name="OCRUncertain016"/>
      <w:r>
        <w:rPr>
          <w:rFonts w:ascii="Arial" w:hAnsi="Arial"/>
          <w:snapToGrid w:val="0"/>
          <w:sz w:val="24"/>
        </w:rPr>
        <w:t>з</w:t>
      </w:r>
      <w:bookmarkEnd w:id="1"/>
      <w:r>
        <w:rPr>
          <w:rFonts w:ascii="Arial" w:hAnsi="Arial"/>
          <w:snapToGrid w:val="0"/>
          <w:sz w:val="24"/>
        </w:rPr>
        <w:t>мененной желчи мо</w:t>
      </w:r>
      <w:bookmarkStart w:id="2" w:name="OCRUncertain017"/>
      <w:r>
        <w:rPr>
          <w:rFonts w:ascii="Arial" w:hAnsi="Arial"/>
          <w:snapToGrid w:val="0"/>
          <w:sz w:val="24"/>
        </w:rPr>
        <w:t>ж</w:t>
      </w:r>
      <w:bookmarkEnd w:id="2"/>
      <w:r>
        <w:rPr>
          <w:rFonts w:ascii="Arial" w:hAnsi="Arial"/>
          <w:snapToGrid w:val="0"/>
          <w:sz w:val="24"/>
        </w:rPr>
        <w:t>ет присоединяться инфекция. Воспалительный процесс может провоцироваться камнем, аномалией развития пузыря, дискинезией последнего. Воспаление желчного пузыря может способствовать дальнейшему образованию камней. Воспаление вызывает вторичную деформацию, сморщивание пузыря, образование различных замкнутых полостей из складок слизистой оболочки. Внутри этих складок находится инфицированная желчь, распространение последней поддерживает воспаление стенки желчного пузыря.</w:t>
      </w:r>
    </w:p>
    <w:p w:rsidR="008061BC" w:rsidRDefault="008061BC">
      <w:pPr>
        <w:widowControl w:val="0"/>
        <w:spacing w:line="360" w:lineRule="auto"/>
        <w:ind w:right="-3565" w:firstLine="720"/>
        <w:rPr>
          <w:rFonts w:ascii="Arial" w:hAnsi="Arial"/>
          <w:snapToGrid w:val="0"/>
          <w:sz w:val="24"/>
        </w:rPr>
      </w:pPr>
    </w:p>
    <w:p w:rsidR="008061BC" w:rsidRDefault="008061BC">
      <w:pPr>
        <w:widowControl w:val="0"/>
        <w:spacing w:line="360" w:lineRule="auto"/>
        <w:ind w:right="-3565" w:firstLine="720"/>
        <w:rPr>
          <w:rFonts w:ascii="Arial" w:hAnsi="Arial"/>
          <w:snapToGrid w:val="0"/>
          <w:sz w:val="24"/>
        </w:rPr>
      </w:pPr>
      <w:r>
        <w:rPr>
          <w:rFonts w:ascii="Arial" w:hAnsi="Arial"/>
          <w:snapToGrid w:val="0"/>
          <w:sz w:val="24"/>
        </w:rPr>
        <w:t xml:space="preserve">Возможно проникновение инфекция по желчным протокам и ходам с развитием холангита и поражение самой печеночной ткани с развитием </w:t>
      </w:r>
      <w:proofErr w:type="spellStart"/>
      <w:r>
        <w:rPr>
          <w:rFonts w:ascii="Arial" w:hAnsi="Arial"/>
          <w:snapToGrid w:val="0"/>
          <w:sz w:val="24"/>
        </w:rPr>
        <w:t>холангиогепатита</w:t>
      </w:r>
      <w:proofErr w:type="spellEnd"/>
      <w:r>
        <w:rPr>
          <w:rFonts w:ascii="Arial" w:hAnsi="Arial"/>
          <w:snapToGrid w:val="0"/>
          <w:sz w:val="24"/>
        </w:rPr>
        <w:t xml:space="preserve">. Калькулезный </w:t>
      </w:r>
      <w:proofErr w:type="spellStart"/>
      <w:proofErr w:type="gramStart"/>
      <w:r>
        <w:rPr>
          <w:rFonts w:ascii="Arial" w:hAnsi="Arial"/>
          <w:snapToGrid w:val="0"/>
          <w:sz w:val="24"/>
        </w:rPr>
        <w:t>холеци-стит</w:t>
      </w:r>
      <w:proofErr w:type="spellEnd"/>
      <w:proofErr w:type="gramEnd"/>
      <w:r>
        <w:rPr>
          <w:rFonts w:ascii="Arial" w:hAnsi="Arial"/>
          <w:snapToGrid w:val="0"/>
          <w:sz w:val="24"/>
        </w:rPr>
        <w:t xml:space="preserve"> чреват </w:t>
      </w:r>
      <w:proofErr w:type="spellStart"/>
      <w:r>
        <w:rPr>
          <w:rFonts w:ascii="Arial" w:hAnsi="Arial"/>
          <w:snapToGrid w:val="0"/>
          <w:sz w:val="24"/>
        </w:rPr>
        <w:t>обтурацией</w:t>
      </w:r>
      <w:proofErr w:type="spellEnd"/>
      <w:r>
        <w:rPr>
          <w:rFonts w:ascii="Arial" w:hAnsi="Arial"/>
          <w:snapToGrid w:val="0"/>
          <w:sz w:val="24"/>
        </w:rPr>
        <w:t xml:space="preserve"> желчного протока и развитием водянки, а при </w:t>
      </w:r>
      <w:proofErr w:type="spellStart"/>
      <w:r>
        <w:rPr>
          <w:rFonts w:ascii="Arial" w:hAnsi="Arial"/>
          <w:snapToGrid w:val="0"/>
          <w:sz w:val="24"/>
        </w:rPr>
        <w:t>нагноениии</w:t>
      </w:r>
      <w:proofErr w:type="spellEnd"/>
      <w:r>
        <w:rPr>
          <w:rFonts w:ascii="Arial" w:hAnsi="Arial"/>
          <w:snapToGrid w:val="0"/>
          <w:sz w:val="24"/>
        </w:rPr>
        <w:t xml:space="preserve"> эмпиемы желчного пузыря. Камень может быть причиной перфорации стенки желчного пузыря.</w:t>
      </w:r>
    </w:p>
    <w:p w:rsidR="008061BC" w:rsidRDefault="008061BC">
      <w:pPr>
        <w:widowControl w:val="0"/>
        <w:spacing w:line="360" w:lineRule="auto"/>
        <w:ind w:right="-3565"/>
        <w:rPr>
          <w:rFonts w:ascii="Arial" w:hAnsi="Arial"/>
          <w:snapToGrid w:val="0"/>
          <w:sz w:val="24"/>
        </w:rPr>
      </w:pPr>
    </w:p>
    <w:p w:rsidR="008061BC" w:rsidRDefault="008061BC">
      <w:pPr>
        <w:widowControl w:val="0"/>
        <w:spacing w:line="360" w:lineRule="auto"/>
        <w:ind w:right="-3565"/>
        <w:rPr>
          <w:rFonts w:ascii="Arial" w:hAnsi="Arial"/>
          <w:snapToGrid w:val="0"/>
          <w:sz w:val="24"/>
        </w:rPr>
      </w:pPr>
    </w:p>
    <w:p w:rsidR="008061BC" w:rsidRDefault="008061BC">
      <w:pPr>
        <w:widowControl w:val="0"/>
        <w:spacing w:line="360" w:lineRule="auto"/>
        <w:ind w:right="-3565"/>
        <w:rPr>
          <w:rFonts w:ascii="Arial" w:hAnsi="Arial"/>
          <w:snapToGrid w:val="0"/>
          <w:sz w:val="24"/>
        </w:rPr>
      </w:pPr>
    </w:p>
    <w:p w:rsidR="008061BC" w:rsidRDefault="008061BC">
      <w:pPr>
        <w:widowControl w:val="0"/>
        <w:spacing w:line="360" w:lineRule="auto"/>
        <w:ind w:right="-3565"/>
        <w:rPr>
          <w:rFonts w:ascii="Arial" w:hAnsi="Arial"/>
          <w:snapToGrid w:val="0"/>
          <w:sz w:val="24"/>
        </w:rPr>
      </w:pPr>
    </w:p>
    <w:p w:rsidR="008061BC" w:rsidRDefault="008061BC">
      <w:pPr>
        <w:widowControl w:val="0"/>
        <w:spacing w:line="360" w:lineRule="auto"/>
        <w:ind w:right="-3565"/>
        <w:rPr>
          <w:rFonts w:ascii="Arial" w:hAnsi="Arial"/>
          <w:snapToGrid w:val="0"/>
          <w:sz w:val="24"/>
        </w:rPr>
      </w:pPr>
    </w:p>
    <w:p w:rsidR="008061BC" w:rsidRDefault="008061BC">
      <w:pPr>
        <w:widowControl w:val="0"/>
        <w:spacing w:line="360" w:lineRule="auto"/>
        <w:ind w:right="-3565"/>
        <w:rPr>
          <w:rFonts w:ascii="Arial" w:hAnsi="Arial"/>
          <w:snapToGrid w:val="0"/>
          <w:sz w:val="24"/>
        </w:rPr>
      </w:pPr>
    </w:p>
    <w:p w:rsidR="008061BC" w:rsidRDefault="008061BC">
      <w:pPr>
        <w:widowControl w:val="0"/>
        <w:spacing w:line="360" w:lineRule="auto"/>
        <w:ind w:left="720" w:right="-3565" w:firstLine="720"/>
        <w:rPr>
          <w:rFonts w:ascii="Arial" w:hAnsi="Arial"/>
          <w:snapToGrid w:val="0"/>
          <w:sz w:val="24"/>
        </w:rPr>
      </w:pPr>
    </w:p>
    <w:p w:rsidR="008061BC" w:rsidRDefault="008061BC">
      <w:pPr>
        <w:widowControl w:val="0"/>
        <w:spacing w:line="360" w:lineRule="auto"/>
        <w:ind w:left="720" w:right="-3565" w:firstLine="720"/>
        <w:rPr>
          <w:rFonts w:ascii="Arial" w:hAnsi="Arial"/>
          <w:snapToGrid w:val="0"/>
          <w:sz w:val="24"/>
        </w:rPr>
      </w:pPr>
    </w:p>
    <w:p w:rsidR="008061BC" w:rsidRDefault="008061BC">
      <w:pPr>
        <w:widowControl w:val="0"/>
        <w:spacing w:line="360" w:lineRule="auto"/>
        <w:ind w:left="720" w:right="-3565" w:firstLine="720"/>
        <w:rPr>
          <w:rFonts w:ascii="Arial" w:hAnsi="Arial"/>
          <w:b/>
          <w:snapToGrid w:val="0"/>
          <w:sz w:val="24"/>
        </w:rPr>
      </w:pPr>
      <w:r>
        <w:rPr>
          <w:rFonts w:ascii="Arial" w:hAnsi="Arial"/>
          <w:snapToGrid w:val="0"/>
          <w:sz w:val="24"/>
        </w:rPr>
        <w:t xml:space="preserve"> </w:t>
      </w:r>
      <w:r>
        <w:rPr>
          <w:rFonts w:ascii="Arial" w:hAnsi="Arial"/>
          <w:b/>
          <w:snapToGrid w:val="0"/>
          <w:sz w:val="24"/>
        </w:rPr>
        <w:t>Клинические проявления.</w:t>
      </w:r>
    </w:p>
    <w:p w:rsidR="008061BC" w:rsidRDefault="008061BC">
      <w:pPr>
        <w:widowControl w:val="0"/>
        <w:spacing w:line="360" w:lineRule="auto"/>
        <w:ind w:right="-3565" w:firstLine="720"/>
        <w:rPr>
          <w:rFonts w:ascii="Arial" w:hAnsi="Arial"/>
          <w:snapToGrid w:val="0"/>
          <w:sz w:val="24"/>
        </w:rPr>
      </w:pPr>
    </w:p>
    <w:p w:rsidR="008061BC" w:rsidRDefault="008061BC">
      <w:pPr>
        <w:widowControl w:val="0"/>
        <w:spacing w:line="360" w:lineRule="auto"/>
        <w:ind w:right="-3565" w:firstLine="720"/>
        <w:rPr>
          <w:rFonts w:ascii="Arial" w:hAnsi="Arial"/>
          <w:snapToGrid w:val="0"/>
          <w:sz w:val="24"/>
        </w:rPr>
      </w:pPr>
      <w:r>
        <w:rPr>
          <w:rFonts w:ascii="Arial" w:hAnsi="Arial"/>
          <w:snapToGrid w:val="0"/>
          <w:sz w:val="24"/>
        </w:rPr>
        <w:t>Течение</w:t>
      </w:r>
      <w:r>
        <w:rPr>
          <w:rFonts w:ascii="Arial" w:hAnsi="Arial"/>
          <w:noProof/>
          <w:snapToGrid w:val="0"/>
          <w:sz w:val="24"/>
        </w:rPr>
        <w:t xml:space="preserve"> XX</w:t>
      </w:r>
      <w:r>
        <w:rPr>
          <w:rFonts w:ascii="Arial" w:hAnsi="Arial"/>
          <w:snapToGrid w:val="0"/>
          <w:sz w:val="24"/>
        </w:rPr>
        <w:t xml:space="preserve"> на фоне ЖКБ</w:t>
      </w:r>
    </w:p>
    <w:p w:rsidR="008061BC" w:rsidRDefault="008061BC">
      <w:pPr>
        <w:widowControl w:val="0"/>
        <w:spacing w:line="360" w:lineRule="auto"/>
        <w:ind w:right="-3585"/>
        <w:rPr>
          <w:rFonts w:ascii="Arial" w:hAnsi="Arial"/>
          <w:snapToGrid w:val="0"/>
          <w:sz w:val="24"/>
        </w:rPr>
      </w:pPr>
      <w:r>
        <w:rPr>
          <w:rFonts w:ascii="Arial" w:hAnsi="Arial"/>
          <w:snapToGrid w:val="0"/>
          <w:sz w:val="24"/>
        </w:rPr>
        <w:t>разобрано в разделе, посвященном ЖКБ</w:t>
      </w:r>
      <w:r>
        <w:rPr>
          <w:rFonts w:ascii="Arial" w:hAnsi="Arial"/>
          <w:noProof/>
          <w:snapToGrid w:val="0"/>
          <w:sz w:val="24"/>
        </w:rPr>
        <w:t xml:space="preserve"> XX</w:t>
      </w:r>
      <w:r>
        <w:rPr>
          <w:rFonts w:ascii="Arial" w:hAnsi="Arial"/>
          <w:snapToGrid w:val="0"/>
          <w:sz w:val="24"/>
        </w:rPr>
        <w:t xml:space="preserve"> проявляется </w:t>
      </w:r>
      <w:proofErr w:type="spellStart"/>
      <w:proofErr w:type="gramStart"/>
      <w:r>
        <w:rPr>
          <w:rFonts w:ascii="Arial" w:hAnsi="Arial"/>
          <w:snapToGrid w:val="0"/>
          <w:sz w:val="24"/>
        </w:rPr>
        <w:t>син-дромами</w:t>
      </w:r>
      <w:proofErr w:type="spellEnd"/>
      <w:proofErr w:type="gramEnd"/>
      <w:r>
        <w:rPr>
          <w:rFonts w:ascii="Arial" w:hAnsi="Arial"/>
          <w:snapToGrid w:val="0"/>
          <w:sz w:val="24"/>
        </w:rPr>
        <w:t xml:space="preserve"> воспаления и моторной дискинезии пузыря.</w:t>
      </w:r>
    </w:p>
    <w:p w:rsidR="008061BC" w:rsidRDefault="008061BC">
      <w:pPr>
        <w:widowControl w:val="0"/>
        <w:spacing w:line="360" w:lineRule="auto"/>
        <w:ind w:right="-3585" w:firstLine="240"/>
        <w:rPr>
          <w:rFonts w:ascii="Arial" w:hAnsi="Arial"/>
          <w:snapToGrid w:val="0"/>
          <w:sz w:val="24"/>
        </w:rPr>
      </w:pPr>
    </w:p>
    <w:p w:rsidR="008061BC" w:rsidRDefault="008061BC">
      <w:pPr>
        <w:widowControl w:val="0"/>
        <w:spacing w:line="360" w:lineRule="auto"/>
        <w:ind w:right="-3585" w:firstLine="240"/>
        <w:rPr>
          <w:rFonts w:ascii="Arial" w:hAnsi="Arial"/>
          <w:snapToGrid w:val="0"/>
          <w:sz w:val="24"/>
        </w:rPr>
      </w:pPr>
      <w:r>
        <w:rPr>
          <w:rFonts w:ascii="Arial" w:hAnsi="Arial"/>
          <w:snapToGrid w:val="0"/>
          <w:sz w:val="24"/>
        </w:rPr>
        <w:t xml:space="preserve">При </w:t>
      </w:r>
      <w:proofErr w:type="spellStart"/>
      <w:r>
        <w:rPr>
          <w:rFonts w:ascii="Arial" w:hAnsi="Arial"/>
          <w:snapToGrid w:val="0"/>
          <w:sz w:val="24"/>
        </w:rPr>
        <w:t>ги-пермоторной</w:t>
      </w:r>
      <w:proofErr w:type="spellEnd"/>
      <w:r>
        <w:rPr>
          <w:rFonts w:ascii="Arial" w:hAnsi="Arial"/>
          <w:snapToGrid w:val="0"/>
          <w:sz w:val="24"/>
        </w:rPr>
        <w:t xml:space="preserve"> дискинезии могут быть приступообразные боли в правом подреберье, напоминающие колику, но меньшей </w:t>
      </w:r>
      <w:proofErr w:type="spellStart"/>
      <w:proofErr w:type="gramStart"/>
      <w:r>
        <w:rPr>
          <w:rFonts w:ascii="Arial" w:hAnsi="Arial"/>
          <w:snapToGrid w:val="0"/>
          <w:sz w:val="24"/>
        </w:rPr>
        <w:t>выра-женности</w:t>
      </w:r>
      <w:proofErr w:type="spellEnd"/>
      <w:proofErr w:type="gramEnd"/>
      <w:r>
        <w:rPr>
          <w:rFonts w:ascii="Arial" w:hAnsi="Arial"/>
          <w:snapToGrid w:val="0"/>
          <w:sz w:val="24"/>
        </w:rPr>
        <w:t xml:space="preserve">. Боли возникают после приема жирной или острой, жареной пищи. Гипомоторная </w:t>
      </w:r>
      <w:proofErr w:type="spellStart"/>
      <w:r>
        <w:rPr>
          <w:rFonts w:ascii="Arial" w:hAnsi="Arial"/>
          <w:snapToGrid w:val="0"/>
          <w:sz w:val="24"/>
        </w:rPr>
        <w:t>дискинеэия</w:t>
      </w:r>
      <w:proofErr w:type="spellEnd"/>
      <w:r>
        <w:rPr>
          <w:rFonts w:ascii="Arial" w:hAnsi="Arial"/>
          <w:snapToGrid w:val="0"/>
          <w:sz w:val="24"/>
        </w:rPr>
        <w:t xml:space="preserve"> проявляется </w:t>
      </w:r>
      <w:proofErr w:type="gramStart"/>
      <w:r>
        <w:rPr>
          <w:rFonts w:ascii="Arial" w:hAnsi="Arial"/>
          <w:snapToGrid w:val="0"/>
          <w:sz w:val="24"/>
        </w:rPr>
        <w:t>дли-тельными</w:t>
      </w:r>
      <w:proofErr w:type="gramEnd"/>
      <w:r>
        <w:rPr>
          <w:rFonts w:ascii="Arial" w:hAnsi="Arial"/>
          <w:snapToGrid w:val="0"/>
          <w:sz w:val="24"/>
        </w:rPr>
        <w:t>, постоянными, тупыми болями в правом подреберье. Возможно ощущение тяжести, обусловленное переполнением желчного пузыря, вялым оттоком желчи. Оба варианта дискинезии сопровождается диспепсическими явлениями.</w:t>
      </w:r>
    </w:p>
    <w:p w:rsidR="008061BC" w:rsidRDefault="008061BC">
      <w:pPr>
        <w:pStyle w:val="a5"/>
        <w:rPr>
          <w:sz w:val="24"/>
        </w:rPr>
      </w:pPr>
    </w:p>
    <w:p w:rsidR="008061BC" w:rsidRDefault="008061BC">
      <w:pPr>
        <w:pStyle w:val="a5"/>
        <w:rPr>
          <w:sz w:val="24"/>
        </w:rPr>
      </w:pPr>
      <w:r>
        <w:rPr>
          <w:sz w:val="24"/>
        </w:rPr>
        <w:t xml:space="preserve">Синдром воспаления проявляется лихорадкой, ознобами, соответствующими сдвигами в крови. </w:t>
      </w:r>
      <w:proofErr w:type="spellStart"/>
      <w:r>
        <w:rPr>
          <w:sz w:val="24"/>
        </w:rPr>
        <w:t>Местно</w:t>
      </w:r>
      <w:proofErr w:type="spellEnd"/>
      <w:r>
        <w:rPr>
          <w:sz w:val="24"/>
        </w:rPr>
        <w:t xml:space="preserve"> может развиться </w:t>
      </w:r>
      <w:proofErr w:type="spellStart"/>
      <w:r>
        <w:rPr>
          <w:sz w:val="24"/>
        </w:rPr>
        <w:t>перихолеоцистит</w:t>
      </w:r>
      <w:proofErr w:type="spellEnd"/>
      <w:r>
        <w:rPr>
          <w:sz w:val="24"/>
        </w:rPr>
        <w:t>, для которого типичны достаточно длительные боли в правом подреберье, интенсивность которых связана с погрешностями в диете, физическими напряжениями.</w:t>
      </w:r>
    </w:p>
    <w:p w:rsidR="008061BC" w:rsidRDefault="008061BC">
      <w:pPr>
        <w:widowControl w:val="0"/>
        <w:spacing w:line="360" w:lineRule="auto"/>
        <w:ind w:right="-3665" w:firstLine="240"/>
        <w:rPr>
          <w:rFonts w:ascii="Arial" w:hAnsi="Arial"/>
          <w:snapToGrid w:val="0"/>
          <w:sz w:val="24"/>
        </w:rPr>
      </w:pPr>
      <w:r>
        <w:rPr>
          <w:rFonts w:ascii="Arial" w:hAnsi="Arial"/>
          <w:snapToGrid w:val="0"/>
          <w:sz w:val="24"/>
        </w:rPr>
        <w:t>Характерна болезненность при пальпации в правом подреберье при надавливании в «пузырных» точках, иногда пальпируется желчный пузырь, могут быть симптомы раздражения брюшины.</w:t>
      </w:r>
    </w:p>
    <w:p w:rsidR="008061BC" w:rsidRDefault="008061BC">
      <w:pPr>
        <w:widowControl w:val="0"/>
        <w:spacing w:line="360" w:lineRule="auto"/>
        <w:ind w:right="-3665"/>
        <w:rPr>
          <w:rFonts w:ascii="Arial" w:hAnsi="Arial"/>
          <w:b/>
          <w:snapToGrid w:val="0"/>
          <w:sz w:val="24"/>
        </w:rPr>
      </w:pPr>
    </w:p>
    <w:p w:rsidR="008061BC" w:rsidRDefault="008061BC">
      <w:pPr>
        <w:widowControl w:val="0"/>
        <w:spacing w:line="360" w:lineRule="auto"/>
        <w:ind w:left="720" w:right="-3665" w:firstLine="720"/>
        <w:rPr>
          <w:rFonts w:ascii="Arial" w:hAnsi="Arial"/>
          <w:b/>
          <w:snapToGrid w:val="0"/>
          <w:sz w:val="24"/>
        </w:rPr>
      </w:pPr>
    </w:p>
    <w:p w:rsidR="008061BC" w:rsidRDefault="008061BC">
      <w:pPr>
        <w:widowControl w:val="0"/>
        <w:spacing w:line="360" w:lineRule="auto"/>
        <w:ind w:left="720" w:right="-3665" w:firstLine="720"/>
        <w:rPr>
          <w:rFonts w:ascii="Arial" w:hAnsi="Arial"/>
          <w:snapToGrid w:val="0"/>
          <w:sz w:val="24"/>
        </w:rPr>
      </w:pPr>
      <w:r>
        <w:rPr>
          <w:rFonts w:ascii="Arial" w:hAnsi="Arial"/>
          <w:b/>
          <w:snapToGrid w:val="0"/>
          <w:sz w:val="24"/>
        </w:rPr>
        <w:t>Диагностика</w:t>
      </w:r>
      <w:r>
        <w:rPr>
          <w:rFonts w:ascii="Arial" w:hAnsi="Arial"/>
          <w:snapToGrid w:val="0"/>
          <w:sz w:val="24"/>
        </w:rPr>
        <w:t xml:space="preserve"> </w:t>
      </w:r>
    </w:p>
    <w:p w:rsidR="008061BC" w:rsidRDefault="008061BC">
      <w:pPr>
        <w:widowControl w:val="0"/>
        <w:spacing w:line="360" w:lineRule="auto"/>
        <w:ind w:left="720" w:right="-3665" w:firstLine="720"/>
        <w:rPr>
          <w:rFonts w:ascii="Arial" w:hAnsi="Arial"/>
          <w:snapToGrid w:val="0"/>
          <w:sz w:val="24"/>
        </w:rPr>
      </w:pPr>
    </w:p>
    <w:p w:rsidR="008061BC" w:rsidRDefault="008061BC">
      <w:pPr>
        <w:widowControl w:val="0"/>
        <w:spacing w:line="360" w:lineRule="auto"/>
        <w:ind w:right="-3665" w:firstLine="720"/>
        <w:rPr>
          <w:rFonts w:ascii="Arial" w:hAnsi="Arial"/>
          <w:noProof/>
          <w:snapToGrid w:val="0"/>
          <w:sz w:val="24"/>
        </w:rPr>
      </w:pPr>
      <w:r>
        <w:rPr>
          <w:rFonts w:ascii="Arial" w:hAnsi="Arial"/>
          <w:snapToGrid w:val="0"/>
          <w:sz w:val="24"/>
        </w:rPr>
        <w:t>Основывается на сочетании синдромов дискинезии</w:t>
      </w:r>
      <w:r>
        <w:rPr>
          <w:rFonts w:ascii="Arial" w:hAnsi="Arial"/>
          <w:b/>
          <w:snapToGrid w:val="0"/>
          <w:sz w:val="24"/>
        </w:rPr>
        <w:t xml:space="preserve"> </w:t>
      </w:r>
      <w:r>
        <w:rPr>
          <w:rFonts w:ascii="Arial" w:hAnsi="Arial"/>
          <w:snapToGrid w:val="0"/>
          <w:sz w:val="24"/>
        </w:rPr>
        <w:t xml:space="preserve">и воспаления. </w:t>
      </w:r>
      <w:proofErr w:type="spellStart"/>
      <w:r>
        <w:rPr>
          <w:rFonts w:ascii="Arial" w:hAnsi="Arial"/>
          <w:snapToGrid w:val="0"/>
          <w:sz w:val="24"/>
        </w:rPr>
        <w:t>Перихолецистит</w:t>
      </w:r>
      <w:proofErr w:type="spellEnd"/>
      <w:r>
        <w:rPr>
          <w:rFonts w:ascii="Arial" w:hAnsi="Arial"/>
          <w:snapToGrid w:val="0"/>
          <w:sz w:val="24"/>
        </w:rPr>
        <w:t xml:space="preserve"> проявляется деформа</w:t>
      </w:r>
      <w:r>
        <w:rPr>
          <w:rFonts w:ascii="Arial" w:hAnsi="Arial"/>
          <w:noProof/>
          <w:snapToGrid w:val="0"/>
          <w:sz w:val="24"/>
        </w:rPr>
        <w:t>цией</w:t>
      </w:r>
      <w:r>
        <w:rPr>
          <w:rFonts w:ascii="Arial" w:hAnsi="Arial"/>
          <w:snapToGrid w:val="0"/>
          <w:sz w:val="24"/>
        </w:rPr>
        <w:t xml:space="preserve"> стенки желчного пузыря, выявляемой при холецистографии</w:t>
      </w:r>
      <w:r>
        <w:rPr>
          <w:rFonts w:ascii="Arial" w:hAnsi="Arial"/>
          <w:b/>
          <w:snapToGrid w:val="0"/>
          <w:sz w:val="24"/>
        </w:rPr>
        <w:t>.</w:t>
      </w:r>
      <w:r>
        <w:rPr>
          <w:rFonts w:ascii="Arial" w:hAnsi="Arial"/>
          <w:snapToGrid w:val="0"/>
          <w:sz w:val="24"/>
        </w:rPr>
        <w:t xml:space="preserve"> Необходимы бактериологическое исследование желчи, </w:t>
      </w:r>
      <w:proofErr w:type="spellStart"/>
      <w:r>
        <w:rPr>
          <w:rFonts w:ascii="Arial" w:hAnsi="Arial"/>
          <w:snapToGrid w:val="0"/>
          <w:sz w:val="24"/>
        </w:rPr>
        <w:t>имунологическое</w:t>
      </w:r>
      <w:proofErr w:type="spellEnd"/>
      <w:r>
        <w:rPr>
          <w:rFonts w:ascii="Arial" w:hAnsi="Arial"/>
          <w:snapToGrid w:val="0"/>
          <w:sz w:val="24"/>
        </w:rPr>
        <w:t xml:space="preserve"> обследование; </w:t>
      </w:r>
      <w:proofErr w:type="spellStart"/>
      <w:r>
        <w:rPr>
          <w:rFonts w:ascii="Arial" w:hAnsi="Arial"/>
          <w:snapToGrid w:val="0"/>
          <w:sz w:val="24"/>
        </w:rPr>
        <w:t>радионуклидное</w:t>
      </w:r>
      <w:proofErr w:type="spellEnd"/>
      <w:r>
        <w:rPr>
          <w:rFonts w:ascii="Arial" w:hAnsi="Arial"/>
          <w:snapToGrid w:val="0"/>
          <w:sz w:val="24"/>
        </w:rPr>
        <w:t xml:space="preserve"> сканирование желчного пузыря; </w:t>
      </w:r>
      <w:proofErr w:type="spellStart"/>
      <w:r>
        <w:rPr>
          <w:rFonts w:ascii="Arial" w:hAnsi="Arial"/>
          <w:snapToGrid w:val="0"/>
          <w:sz w:val="24"/>
        </w:rPr>
        <w:t>термография</w:t>
      </w:r>
      <w:proofErr w:type="spellEnd"/>
      <w:r>
        <w:rPr>
          <w:rFonts w:ascii="Arial" w:hAnsi="Arial"/>
          <w:snapToGrid w:val="0"/>
          <w:sz w:val="24"/>
        </w:rPr>
        <w:t>. Для исключения ЖКБ</w:t>
      </w:r>
      <w:r>
        <w:rPr>
          <w:rFonts w:ascii="Arial" w:hAnsi="Arial"/>
          <w:noProof/>
          <w:snapToGrid w:val="0"/>
          <w:sz w:val="24"/>
        </w:rPr>
        <w:t xml:space="preserve"> — </w:t>
      </w:r>
    </w:p>
    <w:p w:rsidR="008061BC" w:rsidRDefault="008061BC">
      <w:pPr>
        <w:widowControl w:val="0"/>
        <w:spacing w:line="360" w:lineRule="auto"/>
        <w:ind w:right="-3665"/>
        <w:rPr>
          <w:rFonts w:ascii="Arial" w:hAnsi="Arial"/>
          <w:snapToGrid w:val="0"/>
          <w:sz w:val="24"/>
        </w:rPr>
      </w:pPr>
      <w:r>
        <w:rPr>
          <w:rFonts w:ascii="Arial" w:hAnsi="Arial"/>
          <w:snapToGrid w:val="0"/>
          <w:sz w:val="24"/>
        </w:rPr>
        <w:t>УЗИ и рентгенологическое исследование в различных модификациях.</w:t>
      </w:r>
    </w:p>
    <w:p w:rsidR="008061BC" w:rsidRDefault="008061BC">
      <w:pPr>
        <w:widowControl w:val="0"/>
        <w:spacing w:line="360" w:lineRule="auto"/>
        <w:ind w:right="-3665"/>
        <w:rPr>
          <w:rFonts w:ascii="Arial" w:hAnsi="Arial"/>
          <w:snapToGrid w:val="0"/>
          <w:sz w:val="24"/>
        </w:rPr>
      </w:pPr>
    </w:p>
    <w:p w:rsidR="008061BC" w:rsidRDefault="008061BC">
      <w:pPr>
        <w:pStyle w:val="2"/>
      </w:pPr>
      <w:r>
        <w:t xml:space="preserve">Последние позволяют обнаружить деформацию контуров </w:t>
      </w:r>
      <w:r>
        <w:lastRenderedPageBreak/>
        <w:t xml:space="preserve">желчного пузыря, утолщение его стенок, резкое нарушение функций, вплоть до полного отключения» желчного пузыря. лабораторные исследования в данном случае дают возможность определить изменения в формуле крови (характерная картина хронического воспалительного процесса), анализы мочи, кала отражают ту или иную степень нарушения желчевыделения, могут быть изменены «печеночные пробы» при развитии </w:t>
      </w:r>
      <w:proofErr w:type="spellStart"/>
      <w:r>
        <w:t>холангиогепатита</w:t>
      </w:r>
      <w:proofErr w:type="spellEnd"/>
      <w:r>
        <w:t>, а также содержание ферментов ПЛС в крови и моче. Дуоденальное зондирование используется в модификации, позволяющей выявить дискинезию и уточнить ее характер, нарушения концентрационной способности желчного пузыря (фракционное зондирование).</w:t>
      </w:r>
    </w:p>
    <w:p w:rsidR="008061BC" w:rsidRDefault="008061BC">
      <w:pPr>
        <w:widowControl w:val="0"/>
        <w:spacing w:line="360" w:lineRule="auto"/>
        <w:ind w:right="-3566" w:firstLine="320"/>
        <w:rPr>
          <w:rFonts w:ascii="Arial" w:hAnsi="Arial"/>
          <w:snapToGrid w:val="0"/>
          <w:sz w:val="24"/>
        </w:rPr>
      </w:pPr>
      <w:proofErr w:type="spellStart"/>
      <w:r>
        <w:rPr>
          <w:rFonts w:ascii="Arial" w:hAnsi="Arial"/>
          <w:snapToGrid w:val="0"/>
          <w:sz w:val="24"/>
        </w:rPr>
        <w:t>Холецистоэндоскопия</w:t>
      </w:r>
      <w:proofErr w:type="spellEnd"/>
      <w:r>
        <w:rPr>
          <w:rFonts w:ascii="Arial" w:hAnsi="Arial"/>
          <w:snapToGrid w:val="0"/>
          <w:sz w:val="24"/>
        </w:rPr>
        <w:t xml:space="preserve"> позволяет решать не только </w:t>
      </w:r>
      <w:proofErr w:type="spellStart"/>
      <w:proofErr w:type="gramStart"/>
      <w:r>
        <w:rPr>
          <w:rFonts w:ascii="Arial" w:hAnsi="Arial"/>
          <w:snapToGrid w:val="0"/>
          <w:sz w:val="24"/>
        </w:rPr>
        <w:t>диагно-стические</w:t>
      </w:r>
      <w:proofErr w:type="spellEnd"/>
      <w:proofErr w:type="gramEnd"/>
      <w:r>
        <w:rPr>
          <w:rFonts w:ascii="Arial" w:hAnsi="Arial"/>
          <w:snapToGrid w:val="0"/>
          <w:sz w:val="24"/>
        </w:rPr>
        <w:t>, но и терапевтические вопросы.</w:t>
      </w:r>
    </w:p>
    <w:p w:rsidR="008061BC" w:rsidRDefault="008061BC">
      <w:pPr>
        <w:widowControl w:val="0"/>
        <w:spacing w:line="360" w:lineRule="auto"/>
        <w:ind w:right="-3566"/>
        <w:rPr>
          <w:rFonts w:ascii="Arial" w:hAnsi="Arial"/>
          <w:b/>
          <w:snapToGrid w:val="0"/>
          <w:sz w:val="24"/>
        </w:rPr>
      </w:pPr>
    </w:p>
    <w:p w:rsidR="008061BC" w:rsidRDefault="008061BC">
      <w:pPr>
        <w:widowControl w:val="0"/>
        <w:spacing w:line="360" w:lineRule="auto"/>
        <w:ind w:right="-3566"/>
        <w:rPr>
          <w:rFonts w:ascii="Arial" w:hAnsi="Arial"/>
          <w:b/>
          <w:snapToGrid w:val="0"/>
          <w:sz w:val="24"/>
        </w:rPr>
      </w:pPr>
    </w:p>
    <w:p w:rsidR="008061BC" w:rsidRDefault="008061BC">
      <w:pPr>
        <w:widowControl w:val="0"/>
        <w:spacing w:line="360" w:lineRule="auto"/>
        <w:ind w:left="720" w:right="-3566" w:firstLine="720"/>
        <w:rPr>
          <w:rFonts w:ascii="Arial" w:hAnsi="Arial"/>
          <w:b/>
          <w:snapToGrid w:val="0"/>
          <w:sz w:val="24"/>
        </w:rPr>
      </w:pPr>
      <w:r>
        <w:rPr>
          <w:rFonts w:ascii="Arial" w:hAnsi="Arial"/>
          <w:b/>
          <w:snapToGrid w:val="0"/>
          <w:sz w:val="24"/>
        </w:rPr>
        <w:t>Лечение.</w:t>
      </w:r>
    </w:p>
    <w:p w:rsidR="008061BC" w:rsidRDefault="008061BC">
      <w:pPr>
        <w:widowControl w:val="0"/>
        <w:spacing w:line="360" w:lineRule="auto"/>
        <w:ind w:left="720" w:right="-3566" w:firstLine="720"/>
        <w:rPr>
          <w:rFonts w:ascii="Arial" w:hAnsi="Arial"/>
          <w:b/>
          <w:snapToGrid w:val="0"/>
          <w:sz w:val="24"/>
        </w:rPr>
      </w:pPr>
    </w:p>
    <w:p w:rsidR="008061BC" w:rsidRDefault="008061BC">
      <w:pPr>
        <w:widowControl w:val="0"/>
        <w:spacing w:line="360" w:lineRule="auto"/>
        <w:ind w:right="-3566" w:firstLine="320"/>
        <w:rPr>
          <w:rFonts w:ascii="Arial" w:hAnsi="Arial"/>
          <w:snapToGrid w:val="0"/>
          <w:sz w:val="24"/>
        </w:rPr>
      </w:pPr>
      <w:r>
        <w:rPr>
          <w:rFonts w:ascii="Arial" w:hAnsi="Arial"/>
          <w:snapToGrid w:val="0"/>
          <w:sz w:val="24"/>
        </w:rPr>
        <w:t>Соблюдение диеты при</w:t>
      </w:r>
      <w:r>
        <w:rPr>
          <w:rFonts w:ascii="Arial" w:hAnsi="Arial"/>
          <w:noProof/>
          <w:snapToGrid w:val="0"/>
          <w:sz w:val="24"/>
        </w:rPr>
        <w:t xml:space="preserve"> XX</w:t>
      </w:r>
      <w:r>
        <w:rPr>
          <w:rFonts w:ascii="Arial" w:hAnsi="Arial"/>
          <w:snapToGrid w:val="0"/>
          <w:sz w:val="24"/>
        </w:rPr>
        <w:t xml:space="preserve"> исключительно актуально. Необходимо увеличение в </w:t>
      </w:r>
      <w:proofErr w:type="spellStart"/>
      <w:r>
        <w:rPr>
          <w:rFonts w:ascii="Arial" w:hAnsi="Arial"/>
          <w:snapToGrid w:val="0"/>
          <w:sz w:val="24"/>
        </w:rPr>
        <w:t>рациове</w:t>
      </w:r>
      <w:proofErr w:type="spellEnd"/>
      <w:r>
        <w:rPr>
          <w:rFonts w:ascii="Arial" w:hAnsi="Arial"/>
          <w:snapToGrid w:val="0"/>
          <w:sz w:val="24"/>
        </w:rPr>
        <w:t xml:space="preserve"> растительных жиров до</w:t>
      </w:r>
      <w:r>
        <w:rPr>
          <w:rFonts w:ascii="Arial" w:hAnsi="Arial"/>
          <w:noProof/>
          <w:snapToGrid w:val="0"/>
          <w:sz w:val="24"/>
        </w:rPr>
        <w:t xml:space="preserve"> 50%,</w:t>
      </w:r>
      <w:r>
        <w:rPr>
          <w:rFonts w:ascii="Arial" w:hAnsi="Arial"/>
          <w:snapToGrid w:val="0"/>
          <w:sz w:val="24"/>
        </w:rPr>
        <w:t xml:space="preserve"> употреблять </w:t>
      </w:r>
      <w:proofErr w:type="spellStart"/>
      <w:r>
        <w:rPr>
          <w:rFonts w:ascii="Arial" w:hAnsi="Arial"/>
          <w:snapToGrid w:val="0"/>
          <w:sz w:val="24"/>
        </w:rPr>
        <w:t>липотропные</w:t>
      </w:r>
      <w:proofErr w:type="spellEnd"/>
      <w:r>
        <w:rPr>
          <w:rFonts w:ascii="Arial" w:hAnsi="Arial"/>
          <w:snapToGrid w:val="0"/>
          <w:sz w:val="24"/>
        </w:rPr>
        <w:t xml:space="preserve"> </w:t>
      </w:r>
      <w:proofErr w:type="spellStart"/>
      <w:r>
        <w:rPr>
          <w:rFonts w:ascii="Arial" w:hAnsi="Arial"/>
          <w:snapToGrid w:val="0"/>
          <w:sz w:val="24"/>
        </w:rPr>
        <w:t>блюща</w:t>
      </w:r>
      <w:proofErr w:type="spellEnd"/>
      <w:r>
        <w:rPr>
          <w:rFonts w:ascii="Arial" w:hAnsi="Arial"/>
          <w:snapToGrid w:val="0"/>
          <w:sz w:val="24"/>
        </w:rPr>
        <w:t xml:space="preserve"> (творог и овсяная </w:t>
      </w:r>
      <w:proofErr w:type="spellStart"/>
      <w:proofErr w:type="gramStart"/>
      <w:r>
        <w:rPr>
          <w:rFonts w:ascii="Arial" w:hAnsi="Arial"/>
          <w:snapToGrid w:val="0"/>
          <w:sz w:val="24"/>
        </w:rPr>
        <w:t>кру</w:t>
      </w:r>
      <w:proofErr w:type="spellEnd"/>
      <w:r>
        <w:rPr>
          <w:rFonts w:ascii="Arial" w:hAnsi="Arial"/>
          <w:snapToGrid w:val="0"/>
          <w:sz w:val="24"/>
        </w:rPr>
        <w:t>-па</w:t>
      </w:r>
      <w:proofErr w:type="gramEnd"/>
      <w:r>
        <w:rPr>
          <w:rFonts w:ascii="Arial" w:hAnsi="Arial"/>
          <w:snapToGrid w:val="0"/>
          <w:sz w:val="24"/>
        </w:rPr>
        <w:t>), продукты, содержащие витамины группы В. При</w:t>
      </w:r>
      <w:r>
        <w:rPr>
          <w:rFonts w:ascii="Arial" w:hAnsi="Arial"/>
          <w:noProof/>
          <w:snapToGrid w:val="0"/>
          <w:sz w:val="24"/>
        </w:rPr>
        <w:t xml:space="preserve"> XX</w:t>
      </w:r>
      <w:r>
        <w:rPr>
          <w:rFonts w:ascii="Arial" w:hAnsi="Arial"/>
          <w:snapToGrid w:val="0"/>
          <w:sz w:val="24"/>
        </w:rPr>
        <w:t xml:space="preserve"> исключают грубые жиры, жареное мясо, пряности, поваренную соль, маринады, пиво, вино, в ом числе сухое и шампанское, орехи, крем, сдобное тесто, </w:t>
      </w:r>
      <w:proofErr w:type="spellStart"/>
      <w:r>
        <w:rPr>
          <w:rFonts w:ascii="Arial" w:hAnsi="Arial"/>
          <w:snapToGrid w:val="0"/>
          <w:sz w:val="24"/>
        </w:rPr>
        <w:t>блода</w:t>
      </w:r>
      <w:proofErr w:type="spellEnd"/>
      <w:r>
        <w:rPr>
          <w:rFonts w:ascii="Arial" w:hAnsi="Arial"/>
          <w:snapToGrid w:val="0"/>
          <w:sz w:val="24"/>
        </w:rPr>
        <w:t xml:space="preserve"> и напитки в холодном виде.</w:t>
      </w:r>
    </w:p>
    <w:p w:rsidR="008061BC" w:rsidRDefault="008061BC">
      <w:pPr>
        <w:widowControl w:val="0"/>
        <w:spacing w:line="360" w:lineRule="auto"/>
        <w:ind w:right="-3566" w:firstLine="320"/>
        <w:rPr>
          <w:rFonts w:ascii="Arial" w:hAnsi="Arial"/>
          <w:snapToGrid w:val="0"/>
          <w:sz w:val="24"/>
        </w:rPr>
      </w:pPr>
      <w:r>
        <w:rPr>
          <w:rFonts w:ascii="Arial" w:hAnsi="Arial"/>
          <w:snapToGrid w:val="0"/>
          <w:sz w:val="24"/>
        </w:rPr>
        <w:t>При обострении</w:t>
      </w:r>
      <w:r>
        <w:rPr>
          <w:rFonts w:ascii="Arial" w:hAnsi="Arial"/>
          <w:noProof/>
          <w:snapToGrid w:val="0"/>
          <w:sz w:val="24"/>
        </w:rPr>
        <w:t xml:space="preserve"> XX</w:t>
      </w:r>
      <w:r>
        <w:rPr>
          <w:rFonts w:ascii="Arial" w:hAnsi="Arial"/>
          <w:snapToGrid w:val="0"/>
          <w:sz w:val="24"/>
        </w:rPr>
        <w:t xml:space="preserve"> назначают антибиотики широкого спектра действия: ампициллин (</w:t>
      </w:r>
      <w:proofErr w:type="spellStart"/>
      <w:r>
        <w:rPr>
          <w:rFonts w:ascii="Arial" w:hAnsi="Arial"/>
          <w:snapToGrid w:val="0"/>
          <w:sz w:val="24"/>
        </w:rPr>
        <w:t>рег</w:t>
      </w:r>
      <w:proofErr w:type="spellEnd"/>
      <w:r>
        <w:rPr>
          <w:rFonts w:ascii="Arial" w:hAnsi="Arial"/>
          <w:snapToGrid w:val="0"/>
          <w:sz w:val="24"/>
        </w:rPr>
        <w:t xml:space="preserve"> </w:t>
      </w:r>
      <w:proofErr w:type="spellStart"/>
      <w:r>
        <w:rPr>
          <w:rFonts w:ascii="Arial" w:hAnsi="Arial"/>
          <w:snapToGrid w:val="0"/>
          <w:sz w:val="24"/>
        </w:rPr>
        <w:t>оs</w:t>
      </w:r>
      <w:proofErr w:type="spellEnd"/>
      <w:r>
        <w:rPr>
          <w:rFonts w:ascii="Arial" w:hAnsi="Arial"/>
          <w:snapToGrid w:val="0"/>
          <w:sz w:val="24"/>
        </w:rPr>
        <w:t xml:space="preserve"> до</w:t>
      </w:r>
      <w:r>
        <w:rPr>
          <w:rFonts w:ascii="Arial" w:hAnsi="Arial"/>
          <w:noProof/>
          <w:snapToGrid w:val="0"/>
          <w:sz w:val="24"/>
        </w:rPr>
        <w:t xml:space="preserve"> 12</w:t>
      </w:r>
      <w:r>
        <w:rPr>
          <w:rFonts w:ascii="Arial" w:hAnsi="Arial"/>
          <w:snapToGrid w:val="0"/>
          <w:sz w:val="24"/>
        </w:rPr>
        <w:t xml:space="preserve"> г/</w:t>
      </w:r>
      <w:proofErr w:type="spellStart"/>
      <w:r>
        <w:rPr>
          <w:rFonts w:ascii="Arial" w:hAnsi="Arial"/>
          <w:snapToGrid w:val="0"/>
          <w:sz w:val="24"/>
        </w:rPr>
        <w:t>сут</w:t>
      </w:r>
      <w:proofErr w:type="spellEnd"/>
      <w:r>
        <w:rPr>
          <w:rFonts w:ascii="Arial" w:hAnsi="Arial"/>
          <w:snapToGrid w:val="0"/>
          <w:sz w:val="24"/>
        </w:rPr>
        <w:t>), цефалоспорины (</w:t>
      </w:r>
      <w:proofErr w:type="spellStart"/>
      <w:r>
        <w:rPr>
          <w:rFonts w:ascii="Arial" w:hAnsi="Arial"/>
          <w:snapToGrid w:val="0"/>
          <w:sz w:val="24"/>
        </w:rPr>
        <w:t>цепорин</w:t>
      </w:r>
      <w:proofErr w:type="spellEnd"/>
      <w:r>
        <w:rPr>
          <w:rFonts w:ascii="Arial" w:hAnsi="Arial"/>
          <w:snapToGrid w:val="0"/>
          <w:sz w:val="24"/>
        </w:rPr>
        <w:t xml:space="preserve"> </w:t>
      </w:r>
      <w:proofErr w:type="spellStart"/>
      <w:r>
        <w:rPr>
          <w:rFonts w:ascii="Arial" w:hAnsi="Arial"/>
          <w:snapToGrid w:val="0"/>
          <w:sz w:val="24"/>
        </w:rPr>
        <w:t>внутрввенно</w:t>
      </w:r>
      <w:proofErr w:type="spellEnd"/>
      <w:r>
        <w:rPr>
          <w:rFonts w:ascii="Arial" w:hAnsi="Arial"/>
          <w:snapToGrid w:val="0"/>
          <w:sz w:val="24"/>
        </w:rPr>
        <w:t>, внутримышечно</w:t>
      </w:r>
      <w:r>
        <w:rPr>
          <w:rFonts w:ascii="Arial" w:hAnsi="Arial"/>
          <w:noProof/>
          <w:snapToGrid w:val="0"/>
          <w:sz w:val="24"/>
        </w:rPr>
        <w:t xml:space="preserve"> 1—2—6</w:t>
      </w:r>
      <w:r>
        <w:rPr>
          <w:rFonts w:ascii="Arial" w:hAnsi="Arial"/>
          <w:snapToGrid w:val="0"/>
          <w:sz w:val="24"/>
        </w:rPr>
        <w:t xml:space="preserve"> г/</w:t>
      </w:r>
      <w:proofErr w:type="spellStart"/>
      <w:r>
        <w:rPr>
          <w:rFonts w:ascii="Arial" w:hAnsi="Arial"/>
          <w:snapToGrid w:val="0"/>
          <w:sz w:val="24"/>
        </w:rPr>
        <w:t>сут</w:t>
      </w:r>
      <w:proofErr w:type="spellEnd"/>
      <w:r>
        <w:rPr>
          <w:rFonts w:ascii="Arial" w:hAnsi="Arial"/>
          <w:snapToGrid w:val="0"/>
          <w:sz w:val="24"/>
        </w:rPr>
        <w:t xml:space="preserve">), </w:t>
      </w:r>
      <w:proofErr w:type="spellStart"/>
      <w:r>
        <w:rPr>
          <w:rFonts w:ascii="Arial" w:hAnsi="Arial"/>
          <w:snapToGrid w:val="0"/>
          <w:sz w:val="24"/>
        </w:rPr>
        <w:t>хлорамфеникол</w:t>
      </w:r>
      <w:proofErr w:type="spellEnd"/>
      <w:r>
        <w:rPr>
          <w:rFonts w:ascii="Arial" w:hAnsi="Arial"/>
          <w:snapToGrid w:val="0"/>
          <w:sz w:val="24"/>
        </w:rPr>
        <w:t xml:space="preserve"> (левомицетин </w:t>
      </w:r>
      <w:proofErr w:type="spellStart"/>
      <w:r>
        <w:rPr>
          <w:rFonts w:ascii="Arial" w:hAnsi="Arial"/>
          <w:snapToGrid w:val="0"/>
          <w:sz w:val="24"/>
        </w:rPr>
        <w:t>рег</w:t>
      </w:r>
      <w:proofErr w:type="spellEnd"/>
      <w:r>
        <w:rPr>
          <w:rFonts w:ascii="Arial" w:hAnsi="Arial"/>
          <w:noProof/>
          <w:snapToGrid w:val="0"/>
          <w:sz w:val="24"/>
        </w:rPr>
        <w:t xml:space="preserve"> 08</w:t>
      </w:r>
      <w:r>
        <w:rPr>
          <w:rFonts w:ascii="Arial" w:hAnsi="Arial"/>
          <w:snapToGrid w:val="0"/>
          <w:sz w:val="24"/>
        </w:rPr>
        <w:t xml:space="preserve"> до</w:t>
      </w:r>
      <w:r>
        <w:rPr>
          <w:rFonts w:ascii="Arial" w:hAnsi="Arial"/>
          <w:noProof/>
          <w:snapToGrid w:val="0"/>
          <w:sz w:val="24"/>
        </w:rPr>
        <w:t xml:space="preserve"> 6</w:t>
      </w:r>
      <w:r>
        <w:rPr>
          <w:rFonts w:ascii="Arial" w:hAnsi="Arial"/>
          <w:snapToGrid w:val="0"/>
          <w:sz w:val="24"/>
        </w:rPr>
        <w:t xml:space="preserve"> г/</w:t>
      </w:r>
      <w:proofErr w:type="spellStart"/>
      <w:r>
        <w:rPr>
          <w:rFonts w:ascii="Arial" w:hAnsi="Arial"/>
          <w:snapToGrid w:val="0"/>
          <w:sz w:val="24"/>
        </w:rPr>
        <w:t>сут</w:t>
      </w:r>
      <w:proofErr w:type="spellEnd"/>
      <w:r>
        <w:rPr>
          <w:rFonts w:ascii="Arial" w:hAnsi="Arial"/>
          <w:snapToGrid w:val="0"/>
          <w:sz w:val="24"/>
        </w:rPr>
        <w:t xml:space="preserve">) и </w:t>
      </w:r>
      <w:proofErr w:type="spellStart"/>
      <w:r>
        <w:rPr>
          <w:rFonts w:ascii="Arial" w:hAnsi="Arial"/>
          <w:snapToGrid w:val="0"/>
          <w:sz w:val="24"/>
        </w:rPr>
        <w:t>аминогликозиды</w:t>
      </w:r>
      <w:proofErr w:type="spellEnd"/>
      <w:r>
        <w:rPr>
          <w:rFonts w:ascii="Arial" w:hAnsi="Arial"/>
          <w:snapToGrid w:val="0"/>
          <w:sz w:val="24"/>
        </w:rPr>
        <w:t xml:space="preserve"> (гентамицин внутримышечно</w:t>
      </w:r>
      <w:r>
        <w:rPr>
          <w:rFonts w:ascii="Arial" w:hAnsi="Arial"/>
          <w:noProof/>
          <w:snapToGrid w:val="0"/>
          <w:sz w:val="24"/>
        </w:rPr>
        <w:t xml:space="preserve"> 5</w:t>
      </w:r>
      <w:r>
        <w:rPr>
          <w:rFonts w:ascii="Arial" w:hAnsi="Arial"/>
          <w:snapToGrid w:val="0"/>
          <w:sz w:val="24"/>
        </w:rPr>
        <w:t xml:space="preserve"> мг/</w:t>
      </w:r>
      <w:proofErr w:type="spellStart"/>
      <w:r>
        <w:rPr>
          <w:rFonts w:ascii="Arial" w:hAnsi="Arial"/>
          <w:snapToGrid w:val="0"/>
          <w:sz w:val="24"/>
        </w:rPr>
        <w:t>кгЛ</w:t>
      </w:r>
      <w:proofErr w:type="spellEnd"/>
      <w:r>
        <w:rPr>
          <w:rFonts w:ascii="Arial" w:hAnsi="Arial"/>
          <w:snapToGrid w:val="0"/>
          <w:sz w:val="24"/>
        </w:rPr>
        <w:t xml:space="preserve"> Антибиотики следует назначать на</w:t>
      </w:r>
      <w:r>
        <w:rPr>
          <w:rFonts w:ascii="Arial" w:hAnsi="Arial"/>
          <w:noProof/>
          <w:snapToGrid w:val="0"/>
          <w:sz w:val="24"/>
        </w:rPr>
        <w:t xml:space="preserve"> 10—15</w:t>
      </w:r>
      <w:r>
        <w:rPr>
          <w:rFonts w:ascii="Arial" w:hAnsi="Arial"/>
          <w:snapToGrid w:val="0"/>
          <w:sz w:val="24"/>
        </w:rPr>
        <w:t xml:space="preserve"> дней. при более длительном</w:t>
      </w:r>
      <w:r>
        <w:rPr>
          <w:rFonts w:ascii="Arial" w:hAnsi="Arial"/>
          <w:b/>
          <w:snapToGrid w:val="0"/>
          <w:sz w:val="24"/>
        </w:rPr>
        <w:t xml:space="preserve"> </w:t>
      </w:r>
      <w:r>
        <w:rPr>
          <w:rFonts w:ascii="Arial" w:hAnsi="Arial"/>
          <w:snapToGrid w:val="0"/>
          <w:sz w:val="24"/>
        </w:rPr>
        <w:t xml:space="preserve">применении - в- сочетании с </w:t>
      </w:r>
      <w:proofErr w:type="spellStart"/>
      <w:r>
        <w:rPr>
          <w:rFonts w:ascii="Arial" w:hAnsi="Arial"/>
          <w:snapToGrid w:val="0"/>
          <w:sz w:val="24"/>
        </w:rPr>
        <w:t>нистатином</w:t>
      </w:r>
      <w:proofErr w:type="spellEnd"/>
      <w:r>
        <w:rPr>
          <w:rFonts w:ascii="Arial" w:hAnsi="Arial"/>
          <w:snapToGrid w:val="0"/>
          <w:sz w:val="24"/>
        </w:rPr>
        <w:t xml:space="preserve">, </w:t>
      </w:r>
      <w:proofErr w:type="spellStart"/>
      <w:r>
        <w:rPr>
          <w:rFonts w:ascii="Arial" w:hAnsi="Arial"/>
          <w:snapToGrid w:val="0"/>
          <w:sz w:val="24"/>
        </w:rPr>
        <w:t>леворином</w:t>
      </w:r>
      <w:proofErr w:type="spellEnd"/>
      <w:r>
        <w:rPr>
          <w:rFonts w:ascii="Arial" w:hAnsi="Arial"/>
          <w:snapToGrid w:val="0"/>
          <w:sz w:val="24"/>
        </w:rPr>
        <w:t>. Показаны нитро-фураны</w:t>
      </w:r>
      <w:r>
        <w:rPr>
          <w:rFonts w:ascii="Arial" w:hAnsi="Arial"/>
          <w:noProof/>
          <w:snapToGrid w:val="0"/>
          <w:sz w:val="24"/>
        </w:rPr>
        <w:t xml:space="preserve"> (0,4</w:t>
      </w:r>
      <w:r>
        <w:rPr>
          <w:rFonts w:ascii="Arial" w:hAnsi="Arial"/>
          <w:snapToGrid w:val="0"/>
          <w:sz w:val="24"/>
        </w:rPr>
        <w:t xml:space="preserve"> г/су т).</w:t>
      </w:r>
    </w:p>
    <w:p w:rsidR="008061BC" w:rsidRDefault="008061BC">
      <w:pPr>
        <w:widowControl w:val="0"/>
        <w:spacing w:line="360" w:lineRule="auto"/>
        <w:ind w:right="-3605" w:firstLine="280"/>
        <w:rPr>
          <w:rFonts w:ascii="Arial" w:hAnsi="Arial"/>
          <w:snapToGrid w:val="0"/>
          <w:sz w:val="24"/>
        </w:rPr>
      </w:pPr>
    </w:p>
    <w:p w:rsidR="008061BC" w:rsidRDefault="008061BC">
      <w:pPr>
        <w:widowControl w:val="0"/>
        <w:spacing w:line="360" w:lineRule="auto"/>
        <w:ind w:right="-3605" w:firstLine="280"/>
        <w:rPr>
          <w:rFonts w:ascii="Arial" w:hAnsi="Arial"/>
          <w:snapToGrid w:val="0"/>
          <w:sz w:val="24"/>
        </w:rPr>
      </w:pPr>
    </w:p>
    <w:p w:rsidR="008061BC" w:rsidRDefault="008061BC">
      <w:pPr>
        <w:widowControl w:val="0"/>
        <w:spacing w:line="360" w:lineRule="auto"/>
        <w:ind w:right="-3605" w:firstLine="280"/>
        <w:rPr>
          <w:rFonts w:ascii="Arial" w:hAnsi="Arial"/>
          <w:snapToGrid w:val="0"/>
          <w:sz w:val="24"/>
        </w:rPr>
      </w:pPr>
      <w:r>
        <w:rPr>
          <w:rFonts w:ascii="Arial" w:hAnsi="Arial"/>
          <w:snapToGrid w:val="0"/>
          <w:sz w:val="24"/>
        </w:rPr>
        <w:t xml:space="preserve">При </w:t>
      </w:r>
      <w:proofErr w:type="spellStart"/>
      <w:r>
        <w:rPr>
          <w:rFonts w:ascii="Arial" w:hAnsi="Arial"/>
          <w:snapToGrid w:val="0"/>
          <w:sz w:val="24"/>
        </w:rPr>
        <w:t>гипомоторной</w:t>
      </w:r>
      <w:proofErr w:type="spellEnd"/>
      <w:r>
        <w:rPr>
          <w:rFonts w:ascii="Arial" w:hAnsi="Arial"/>
          <w:snapToGrid w:val="0"/>
          <w:sz w:val="24"/>
        </w:rPr>
        <w:t xml:space="preserve"> дискинезии назначают пантокрин </w:t>
      </w:r>
      <w:proofErr w:type="gramStart"/>
      <w:r>
        <w:rPr>
          <w:rFonts w:ascii="Arial" w:hAnsi="Arial"/>
          <w:snapToGrid w:val="0"/>
          <w:sz w:val="24"/>
        </w:rPr>
        <w:t>(.по</w:t>
      </w:r>
      <w:proofErr w:type="gramEnd"/>
      <w:r>
        <w:rPr>
          <w:rFonts w:ascii="Arial" w:hAnsi="Arial"/>
          <w:snapToGrid w:val="0"/>
          <w:sz w:val="24"/>
        </w:rPr>
        <w:t xml:space="preserve"> 20-</w:t>
      </w:r>
      <w:r>
        <w:rPr>
          <w:rFonts w:ascii="Arial" w:hAnsi="Arial"/>
          <w:noProof/>
          <w:snapToGrid w:val="0"/>
          <w:sz w:val="24"/>
        </w:rPr>
        <w:t>40</w:t>
      </w:r>
      <w:r>
        <w:rPr>
          <w:rFonts w:ascii="Arial" w:hAnsi="Arial"/>
          <w:snapToGrid w:val="0"/>
          <w:sz w:val="24"/>
        </w:rPr>
        <w:t xml:space="preserve"> капель), </w:t>
      </w:r>
      <w:r>
        <w:rPr>
          <w:rFonts w:ascii="Arial" w:hAnsi="Arial"/>
          <w:snapToGrid w:val="0"/>
          <w:sz w:val="24"/>
        </w:rPr>
        <w:lastRenderedPageBreak/>
        <w:t xml:space="preserve">назначают </w:t>
      </w:r>
      <w:proofErr w:type="spellStart"/>
      <w:r>
        <w:rPr>
          <w:rFonts w:ascii="Arial" w:hAnsi="Arial"/>
          <w:snapToGrid w:val="0"/>
          <w:sz w:val="24"/>
        </w:rPr>
        <w:t>холекинетики</w:t>
      </w:r>
      <w:proofErr w:type="spellEnd"/>
      <w:r>
        <w:rPr>
          <w:rFonts w:ascii="Arial" w:hAnsi="Arial"/>
          <w:snapToGrid w:val="0"/>
          <w:sz w:val="24"/>
        </w:rPr>
        <w:t xml:space="preserve"> (магния сульфат, сорбит, ксилит), </w:t>
      </w:r>
      <w:proofErr w:type="spellStart"/>
      <w:r>
        <w:rPr>
          <w:rFonts w:ascii="Arial" w:hAnsi="Arial"/>
          <w:snapToGrid w:val="0"/>
          <w:sz w:val="24"/>
        </w:rPr>
        <w:t>тюбажи</w:t>
      </w:r>
      <w:proofErr w:type="spellEnd"/>
      <w:r>
        <w:rPr>
          <w:rFonts w:ascii="Arial" w:hAnsi="Arial"/>
          <w:snapToGrid w:val="0"/>
          <w:sz w:val="24"/>
        </w:rPr>
        <w:t xml:space="preserve"> (закрытое зондирование,</w:t>
      </w:r>
      <w:r>
        <w:rPr>
          <w:rFonts w:ascii="Arial" w:hAnsi="Arial"/>
          <w:noProof/>
          <w:snapToGrid w:val="0"/>
          <w:sz w:val="24"/>
        </w:rPr>
        <w:t xml:space="preserve"> 2—3</w:t>
      </w:r>
      <w:r>
        <w:rPr>
          <w:rFonts w:ascii="Arial" w:hAnsi="Arial"/>
          <w:snapToGrid w:val="0"/>
          <w:sz w:val="24"/>
        </w:rPr>
        <w:t xml:space="preserve"> раза в </w:t>
      </w:r>
      <w:proofErr w:type="spellStart"/>
      <w:r>
        <w:rPr>
          <w:rFonts w:ascii="Arial" w:hAnsi="Arial"/>
          <w:snapToGrid w:val="0"/>
          <w:sz w:val="24"/>
        </w:rPr>
        <w:t>недепю</w:t>
      </w:r>
      <w:proofErr w:type="spellEnd"/>
      <w:r>
        <w:rPr>
          <w:rFonts w:ascii="Arial" w:hAnsi="Arial"/>
          <w:snapToGrid w:val="0"/>
          <w:sz w:val="24"/>
        </w:rPr>
        <w:t xml:space="preserve">), </w:t>
      </w:r>
      <w:proofErr w:type="spellStart"/>
      <w:r>
        <w:rPr>
          <w:rFonts w:ascii="Arial" w:hAnsi="Arial"/>
          <w:snapToGrid w:val="0"/>
          <w:sz w:val="24"/>
        </w:rPr>
        <w:t>пентагастрин</w:t>
      </w:r>
      <w:proofErr w:type="spellEnd"/>
      <w:r>
        <w:rPr>
          <w:rFonts w:ascii="Arial" w:hAnsi="Arial"/>
          <w:snapToGrid w:val="0"/>
          <w:sz w:val="24"/>
        </w:rPr>
        <w:t xml:space="preserve">, метоклопрамид (реглан, </w:t>
      </w:r>
      <w:proofErr w:type="spellStart"/>
      <w:r>
        <w:rPr>
          <w:rFonts w:ascii="Arial" w:hAnsi="Arial"/>
          <w:snapToGrid w:val="0"/>
          <w:sz w:val="24"/>
        </w:rPr>
        <w:t>церукал</w:t>
      </w:r>
      <w:proofErr w:type="spellEnd"/>
      <w:r>
        <w:rPr>
          <w:rFonts w:ascii="Arial" w:hAnsi="Arial"/>
          <w:snapToGrid w:val="0"/>
          <w:sz w:val="24"/>
        </w:rPr>
        <w:t>).</w:t>
      </w:r>
    </w:p>
    <w:p w:rsidR="008061BC" w:rsidRDefault="008061BC">
      <w:pPr>
        <w:widowControl w:val="0"/>
        <w:spacing w:line="360" w:lineRule="auto"/>
        <w:ind w:right="-3605" w:firstLine="300"/>
        <w:rPr>
          <w:rFonts w:ascii="Arial" w:hAnsi="Arial"/>
          <w:snapToGrid w:val="0"/>
          <w:sz w:val="24"/>
        </w:rPr>
      </w:pPr>
    </w:p>
    <w:p w:rsidR="008061BC" w:rsidRDefault="008061BC">
      <w:pPr>
        <w:widowControl w:val="0"/>
        <w:spacing w:line="360" w:lineRule="auto"/>
        <w:ind w:right="-3605" w:firstLine="300"/>
        <w:rPr>
          <w:rFonts w:ascii="Arial" w:hAnsi="Arial"/>
          <w:snapToGrid w:val="0"/>
          <w:sz w:val="24"/>
        </w:rPr>
      </w:pPr>
      <w:r>
        <w:rPr>
          <w:rFonts w:ascii="Arial" w:hAnsi="Arial"/>
          <w:snapToGrid w:val="0"/>
          <w:sz w:val="24"/>
        </w:rPr>
        <w:t xml:space="preserve">При </w:t>
      </w:r>
      <w:proofErr w:type="spellStart"/>
      <w:r>
        <w:rPr>
          <w:rFonts w:ascii="Arial" w:hAnsi="Arial"/>
          <w:snapToGrid w:val="0"/>
          <w:sz w:val="24"/>
        </w:rPr>
        <w:t>гипермоторной</w:t>
      </w:r>
      <w:proofErr w:type="spellEnd"/>
      <w:r>
        <w:rPr>
          <w:rFonts w:ascii="Arial" w:hAnsi="Arial"/>
          <w:snapToGrid w:val="0"/>
          <w:sz w:val="24"/>
        </w:rPr>
        <w:t xml:space="preserve"> </w:t>
      </w:r>
      <w:proofErr w:type="spellStart"/>
      <w:r>
        <w:rPr>
          <w:rFonts w:ascii="Arial" w:hAnsi="Arial"/>
          <w:snapToGrid w:val="0"/>
          <w:sz w:val="24"/>
        </w:rPr>
        <w:t>дискинеэии</w:t>
      </w:r>
      <w:proofErr w:type="spellEnd"/>
      <w:r>
        <w:rPr>
          <w:rFonts w:ascii="Arial" w:hAnsi="Arial"/>
          <w:snapToGrid w:val="0"/>
          <w:sz w:val="24"/>
        </w:rPr>
        <w:t xml:space="preserve"> используют но-шпу. папаверин, </w:t>
      </w:r>
      <w:proofErr w:type="spellStart"/>
      <w:r>
        <w:rPr>
          <w:rFonts w:ascii="Arial" w:hAnsi="Arial"/>
          <w:snapToGrid w:val="0"/>
          <w:sz w:val="24"/>
        </w:rPr>
        <w:t>делагин</w:t>
      </w:r>
      <w:proofErr w:type="spellEnd"/>
      <w:r>
        <w:rPr>
          <w:rFonts w:ascii="Arial" w:hAnsi="Arial"/>
          <w:snapToGrid w:val="0"/>
          <w:sz w:val="24"/>
        </w:rPr>
        <w:t xml:space="preserve">, </w:t>
      </w:r>
      <w:proofErr w:type="spellStart"/>
      <w:r>
        <w:rPr>
          <w:rFonts w:ascii="Arial" w:hAnsi="Arial"/>
          <w:snapToGrid w:val="0"/>
          <w:sz w:val="24"/>
        </w:rPr>
        <w:t>лиобил</w:t>
      </w:r>
      <w:proofErr w:type="spellEnd"/>
      <w:r>
        <w:rPr>
          <w:rFonts w:ascii="Arial" w:hAnsi="Arial"/>
          <w:snapToGrid w:val="0"/>
          <w:sz w:val="24"/>
        </w:rPr>
        <w:t xml:space="preserve"> (по</w:t>
      </w:r>
      <w:r>
        <w:rPr>
          <w:rFonts w:ascii="Arial" w:hAnsi="Arial"/>
          <w:noProof/>
          <w:snapToGrid w:val="0"/>
          <w:sz w:val="24"/>
        </w:rPr>
        <w:t xml:space="preserve"> 0,4—0,6</w:t>
      </w:r>
      <w:r>
        <w:rPr>
          <w:rFonts w:ascii="Arial" w:hAnsi="Arial"/>
          <w:snapToGrid w:val="0"/>
          <w:sz w:val="24"/>
        </w:rPr>
        <w:t xml:space="preserve"> г</w:t>
      </w:r>
      <w:r>
        <w:rPr>
          <w:rFonts w:ascii="Arial" w:hAnsi="Arial"/>
          <w:noProof/>
          <w:snapToGrid w:val="0"/>
          <w:sz w:val="24"/>
        </w:rPr>
        <w:t xml:space="preserve"> 3</w:t>
      </w:r>
      <w:r>
        <w:rPr>
          <w:rFonts w:ascii="Arial" w:hAnsi="Arial"/>
          <w:snapToGrid w:val="0"/>
          <w:sz w:val="24"/>
        </w:rPr>
        <w:t xml:space="preserve"> раза в день после еды в течение</w:t>
      </w:r>
      <w:r>
        <w:rPr>
          <w:rFonts w:ascii="Arial" w:hAnsi="Arial"/>
          <w:noProof/>
          <w:snapToGrid w:val="0"/>
          <w:sz w:val="24"/>
        </w:rPr>
        <w:t xml:space="preserve"> 2</w:t>
      </w:r>
      <w:r>
        <w:rPr>
          <w:rFonts w:ascii="Arial" w:hAnsi="Arial"/>
          <w:snapToGrid w:val="0"/>
          <w:sz w:val="24"/>
        </w:rPr>
        <w:t xml:space="preserve"> </w:t>
      </w:r>
      <w:proofErr w:type="spellStart"/>
      <w:r>
        <w:rPr>
          <w:rFonts w:ascii="Arial" w:hAnsi="Arial"/>
          <w:snapToGrid w:val="0"/>
          <w:sz w:val="24"/>
        </w:rPr>
        <w:t>мес</w:t>
      </w:r>
      <w:proofErr w:type="spellEnd"/>
      <w:r>
        <w:rPr>
          <w:rFonts w:ascii="Arial" w:hAnsi="Arial"/>
          <w:snapToGrid w:val="0"/>
          <w:sz w:val="24"/>
        </w:rPr>
        <w:t xml:space="preserve">), </w:t>
      </w:r>
      <w:proofErr w:type="spellStart"/>
      <w:r>
        <w:rPr>
          <w:rFonts w:ascii="Arial" w:hAnsi="Arial"/>
          <w:snapToGrid w:val="0"/>
          <w:sz w:val="24"/>
        </w:rPr>
        <w:t>липрахол</w:t>
      </w:r>
      <w:proofErr w:type="spellEnd"/>
      <w:r>
        <w:rPr>
          <w:rFonts w:ascii="Arial" w:hAnsi="Arial"/>
          <w:snapToGrid w:val="0"/>
          <w:sz w:val="24"/>
        </w:rPr>
        <w:t xml:space="preserve"> (по</w:t>
      </w:r>
      <w:r>
        <w:rPr>
          <w:rFonts w:ascii="Arial" w:hAnsi="Arial"/>
          <w:noProof/>
          <w:snapToGrid w:val="0"/>
          <w:sz w:val="24"/>
        </w:rPr>
        <w:t xml:space="preserve"> 0,2—0,4</w:t>
      </w:r>
      <w:r>
        <w:rPr>
          <w:rFonts w:ascii="Arial" w:hAnsi="Arial"/>
          <w:snapToGrid w:val="0"/>
          <w:sz w:val="24"/>
        </w:rPr>
        <w:t xml:space="preserve"> г,</w:t>
      </w:r>
      <w:r>
        <w:rPr>
          <w:rFonts w:ascii="Arial" w:hAnsi="Arial"/>
          <w:noProof/>
          <w:snapToGrid w:val="0"/>
          <w:sz w:val="24"/>
        </w:rPr>
        <w:t xml:space="preserve"> 3</w:t>
      </w:r>
      <w:r>
        <w:rPr>
          <w:rFonts w:ascii="Arial" w:hAnsi="Arial"/>
          <w:snapToGrid w:val="0"/>
          <w:sz w:val="24"/>
        </w:rPr>
        <w:t xml:space="preserve"> раза в день).</w:t>
      </w:r>
    </w:p>
    <w:p w:rsidR="008061BC" w:rsidRDefault="008061BC">
      <w:pPr>
        <w:widowControl w:val="0"/>
        <w:spacing w:line="360" w:lineRule="auto"/>
        <w:ind w:right="-3605"/>
        <w:rPr>
          <w:rFonts w:ascii="Arial" w:hAnsi="Arial"/>
          <w:snapToGrid w:val="0"/>
          <w:sz w:val="24"/>
        </w:rPr>
      </w:pPr>
      <w:r>
        <w:rPr>
          <w:rFonts w:ascii="Arial" w:hAnsi="Arial"/>
          <w:snapToGrid w:val="0"/>
          <w:sz w:val="24"/>
        </w:rPr>
        <w:t>Курортное лечение осуществляется на многочисленных лечебницах Кавказа.</w:t>
      </w:r>
    </w:p>
    <w:p w:rsidR="008061BC" w:rsidRDefault="008061BC">
      <w:pPr>
        <w:widowControl w:val="0"/>
        <w:spacing w:line="360" w:lineRule="auto"/>
        <w:ind w:right="-3686"/>
        <w:rPr>
          <w:rFonts w:ascii="Arial" w:hAnsi="Arial"/>
          <w:noProof/>
          <w:snapToGrid w:val="0"/>
          <w:sz w:val="24"/>
        </w:rPr>
      </w:pPr>
    </w:p>
    <w:sectPr w:rsidR="008061BC">
      <w:pgSz w:w="11900" w:h="16820"/>
      <w:pgMar w:top="1440" w:right="5640"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853"/>
    <w:multiLevelType w:val="singleLevel"/>
    <w:tmpl w:val="75920240"/>
    <w:lvl w:ilvl="0">
      <w:start w:val="1"/>
      <w:numFmt w:val="decimal"/>
      <w:lvlText w:val="%1)"/>
      <w:lvlJc w:val="left"/>
      <w:pPr>
        <w:tabs>
          <w:tab w:val="num" w:pos="580"/>
        </w:tabs>
        <w:ind w:left="5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ru-RU" w:vendorID="1" w:dllVersion="512"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7E"/>
    <w:rsid w:val="00710D7E"/>
    <w:rsid w:val="008061BC"/>
    <w:rsid w:val="00C03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67DF8F-83F9-448E-BC65-686CA145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Название"/>
    <w:basedOn w:val="a"/>
    <w:qFormat/>
    <w:pPr>
      <w:widowControl w:val="0"/>
      <w:spacing w:line="360" w:lineRule="auto"/>
      <w:ind w:right="-3686" w:firstLine="260"/>
      <w:jc w:val="center"/>
    </w:pPr>
    <w:rPr>
      <w:rFonts w:ascii="Arial" w:hAnsi="Arial"/>
      <w:b/>
      <w:snapToGrid w:val="0"/>
      <w:sz w:val="26"/>
      <w:u w:val="single"/>
    </w:rPr>
  </w:style>
  <w:style w:type="paragraph" w:styleId="a4">
    <w:name w:val="caption"/>
    <w:basedOn w:val="a"/>
    <w:qFormat/>
    <w:pPr>
      <w:widowControl w:val="0"/>
      <w:spacing w:line="360" w:lineRule="auto"/>
      <w:ind w:right="-3565" w:firstLine="280"/>
      <w:jc w:val="center"/>
    </w:pPr>
    <w:rPr>
      <w:rFonts w:ascii="Arial" w:hAnsi="Arial"/>
      <w:b/>
      <w:snapToGrid w:val="0"/>
      <w:sz w:val="26"/>
      <w:u w:val="single"/>
    </w:rPr>
  </w:style>
  <w:style w:type="paragraph" w:styleId="a5">
    <w:name w:val="Body Text Indent"/>
    <w:basedOn w:val="a"/>
    <w:semiHidden/>
    <w:pPr>
      <w:widowControl w:val="0"/>
      <w:spacing w:line="360" w:lineRule="auto"/>
      <w:ind w:right="-3665" w:firstLine="240"/>
    </w:pPr>
    <w:rPr>
      <w:rFonts w:ascii="Arial" w:hAnsi="Arial"/>
      <w:snapToGrid w:val="0"/>
      <w:sz w:val="26"/>
    </w:rPr>
  </w:style>
  <w:style w:type="paragraph" w:styleId="2">
    <w:name w:val="Body Text Indent 2"/>
    <w:basedOn w:val="a"/>
    <w:semiHidden/>
    <w:pPr>
      <w:widowControl w:val="0"/>
      <w:spacing w:line="360" w:lineRule="auto"/>
      <w:ind w:right="-3665" w:firstLine="720"/>
    </w:pPr>
    <w:rPr>
      <w:rFonts w:ascii="Arial" w:hAnsi="Arial"/>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699</Words>
  <Characters>3987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Хронический Холеоцистит</vt:lpstr>
    </vt:vector>
  </TitlesOfParts>
  <Manager>Iosef</Manager>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Хронический Холеоцистит</dc:title>
  <dc:subject>Реферат</dc:subject>
  <dc:creator>Surger</dc:creator>
  <cp:keywords/>
  <cp:lastModifiedBy>Тест</cp:lastModifiedBy>
  <cp:revision>2</cp:revision>
  <cp:lastPrinted>1998-04-28T17:34:00Z</cp:lastPrinted>
  <dcterms:created xsi:type="dcterms:W3CDTF">2024-07-05T18:12:00Z</dcterms:created>
  <dcterms:modified xsi:type="dcterms:W3CDTF">2024-07-05T18:12:00Z</dcterms:modified>
</cp:coreProperties>
</file>