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bookmarkStart w:id="0" w:name="_GoBack"/>
      <w:bookmarkEnd w:id="0"/>
      <w:r>
        <w:rPr>
          <w:rFonts w:ascii="Arial" w:hAnsi="Arial"/>
          <w:sz w:val="26"/>
        </w:rPr>
        <w:t>ПАСПОРТНАЯ  ЧАСТЬ</w:t>
      </w:r>
    </w:p>
    <w:p w:rsidR="00000000" w:rsidRDefault="00074888">
      <w:pPr>
        <w:spacing w:line="360" w:lineRule="auto"/>
        <w:jc w:val="center"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Пол - мужской</w:t>
            </w:r>
          </w:p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Дата и час поступления в клинику:</w:t>
            </w:r>
          </w:p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26.02.98,  20 </w:t>
            </w:r>
            <w:r>
              <w:rPr>
                <w:sz w:val="26"/>
                <w:u w:val="single"/>
                <w:vertAlign w:val="superscript"/>
              </w:rPr>
              <w:t>00</w:t>
            </w:r>
          </w:p>
        </w:tc>
        <w:tc>
          <w:tcPr>
            <w:tcW w:w="4395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Группа крови - А(II) Rh</w:t>
            </w:r>
            <w:r>
              <w:rPr>
                <w:sz w:val="26"/>
                <w:vertAlign w:val="superscript"/>
              </w:rPr>
              <w:t>(+)</w:t>
            </w:r>
            <w:r>
              <w:rPr>
                <w:sz w:val="26"/>
              </w:rPr>
              <w:t xml:space="preserve"> пол.</w:t>
            </w:r>
          </w:p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Вес - 69 кг.</w:t>
            </w:r>
          </w:p>
        </w:tc>
      </w:tr>
    </w:tbl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Фамилия, имя, отчество - Петрушкин Петр Иванович. 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Возраст - 74 года. Национальность - русский.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Домашний адрес: г. Днепропетр</w:t>
      </w:r>
      <w:r>
        <w:rPr>
          <w:sz w:val="26"/>
        </w:rPr>
        <w:t>овск, ул. Леваневского, 7/53.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Пенсионер.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Диагноз: а) предварительный - острый холецистит (обострение хронического).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Подпись куратора _________________ 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Клинический диагноз: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1) основной - хронический калькулезный холецистит в фазе обострения;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2) сопутс</w:t>
      </w:r>
      <w:r>
        <w:rPr>
          <w:sz w:val="26"/>
        </w:rPr>
        <w:t>твующий - ишемическая болезнь сердца, гипертоническая болезнь, бронхит, эмфизема легких;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3) осложнения - гепатит.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Дата: 12 марта 1998 г.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Подпись куратора __________________ 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ЖАЛОБЫ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Главная жалоба:</w:t>
      </w:r>
      <w:r>
        <w:rPr>
          <w:sz w:val="26"/>
        </w:rPr>
        <w:t xml:space="preserve"> острая, приступообразная боль “царапающего” хар</w:t>
      </w:r>
      <w:r>
        <w:rPr>
          <w:sz w:val="26"/>
        </w:rPr>
        <w:t>актера в правом подреберье, появляющаяся или усиливающаяся обычно в связи с приемом пищи, особенно жирной и в большом количестве, иррадиирующая в эпигастральную область и в спину в области нижнего угла правой лопатки.</w:t>
      </w: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1. ОБЩЕЕ СОСТОЯНИЕ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Самочувствие - удов</w:t>
      </w:r>
      <w:r>
        <w:rPr>
          <w:sz w:val="26"/>
        </w:rPr>
        <w:t>летворительное. Похудание - незначительное. Общей слабости нет. Работоспособность понижена. Температура тела на момент курации нормальная.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2. КОЖА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Жалобы со стороны кожных покровов отсутствуют.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3. ОПОРНО-ДВИГАТЕЛЬНЫЙ АППАРАТ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Пациент жалуется на периодиче</w:t>
      </w:r>
      <w:r>
        <w:rPr>
          <w:sz w:val="26"/>
        </w:rPr>
        <w:t>ские ноющие боли в костях и суставах конечностей, в позвоночнике, связанные с переменой погоды. Мышечная сила - достаточная.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4. СИСТЕМА ДЫХАНИЯ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Дыхание через нос свободное. Жалуется на периодический кашель средней интенсивности - обычно сухой, по утрам с </w:t>
      </w:r>
      <w:r>
        <w:rPr>
          <w:sz w:val="26"/>
        </w:rPr>
        <w:t>отделением небольшого количества слизистой мокроты. Жалуется на одышку, возникающую при физической нагрузке.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5. СЕРДЕЧНО-СОСУДИСТАЯ СИСТЕМА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Пациент жалуется на периодически возникающие приступы учащенного сердцебиения. 4 раза (май, июль и сентябрь 1997 г.</w:t>
      </w:r>
      <w:r>
        <w:rPr>
          <w:sz w:val="26"/>
        </w:rPr>
        <w:t>, январь 1998 г.) - с потерей сознания.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Боли в грудной клетке - сильные, острые, колющего или сжимающего характера, сопровождающиеся чувством тоски; локализация - в области сердца с иррадиацией в левую руку и в область левой лопатки; возникают очень часто,</w:t>
      </w:r>
      <w:r>
        <w:rPr>
          <w:sz w:val="26"/>
        </w:rPr>
        <w:t xml:space="preserve"> при физической нагрузке, а также в покое при эмоциональном напряжении; купируются приемом нитроглицерина.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lastRenderedPageBreak/>
        <w:t>Отеки нижних конечностей, возникающие к вечеру, особенно при длительном пребывании в вертикальном положении.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6. СИСТЕМА ПИЩЕВАРЕНИЯ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Аппетит - сред</w:t>
      </w:r>
      <w:r>
        <w:rPr>
          <w:sz w:val="26"/>
        </w:rPr>
        <w:t>ний, насыщаемость - нормальная. За сутки выпивает около 2000 мл воды. Пища прожевывается и глотается хорошо. На изжогу и отрыжку не жалуется. Иногда возникает незначительная тошнота, связанная с болями в животе. В то же время, после приступов потери сознан</w:t>
      </w:r>
      <w:r>
        <w:rPr>
          <w:sz w:val="26"/>
        </w:rPr>
        <w:t>ия у пациента была сильная тошнота и рвота.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Боли в животе - см. главную жалобу.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Стул - регулярный, оформленный, цвет - несколько светлее нормы.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7. СИСТЕМА МОЧЕОТДЕЛЕНИЯ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Мочеиспускание произвольное, учащенное (поллакиурия), затрудненное, небольшими порциям</w:t>
      </w:r>
      <w:r>
        <w:rPr>
          <w:sz w:val="26"/>
        </w:rPr>
        <w:t>и. Моча - прозрачная, желтого цвета.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8. ПОЛОВАЯ СИСТЕМА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Потенция утрачена.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9. НЕРВНАЯ СИСТЕМА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Жалуется на бессонницу. Настроение спокойное. Память - ослабленная. Часто бывают головные боли, головокружение. Были обмороки, связанные с приступами тахикардии</w:t>
      </w:r>
      <w:r>
        <w:rPr>
          <w:sz w:val="26"/>
        </w:rPr>
        <w:t xml:space="preserve"> - 4 раза (май, июль и сентябрь 1997 г., январь 1998 г.). Зрение - понижено, пользуется очками. Слух - ослаблен в обеих ушах. Обоняние и вкус - без изменений.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ANAMNESIS MORBI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Пациент считает, что заболел 26 февраля 1998 г., когда он почувствовал острую б</w:t>
      </w:r>
      <w:r>
        <w:rPr>
          <w:sz w:val="26"/>
        </w:rPr>
        <w:t xml:space="preserve">оль в области правого подреберья с иррадиацией в эпигастральную область. Ранее у пациента также бывали боли в правом подреберье, но они были незначительными </w:t>
      </w:r>
      <w:r>
        <w:rPr>
          <w:sz w:val="26"/>
        </w:rPr>
        <w:lastRenderedPageBreak/>
        <w:t>по своей интенсивности, поэтому он не обращался к врачу. В связи с усилением болевого синдрома и ух</w:t>
      </w:r>
      <w:r>
        <w:rPr>
          <w:sz w:val="26"/>
        </w:rPr>
        <w:t xml:space="preserve">удшением общего состояния обратился в скорую помощь. Машиной скорой медицинской помощи был доставлен в стационар, где был осмотрен дежурным врачом и помещен в хирургическое отделение. После поступления у больного наблюдалась лихорадка и выраженный болевой </w:t>
      </w:r>
      <w:r>
        <w:rPr>
          <w:sz w:val="26"/>
        </w:rPr>
        <w:t>синдром, а также общая слабость и разбитость. После проведенной инфузионной терапии наступило некоторое улучшение состояния пациента. Интенсивность и продолжительность болей снизились, температура тела возвратилась к нормальным величинам. Самочувствие паци</w:t>
      </w:r>
      <w:r>
        <w:rPr>
          <w:sz w:val="26"/>
        </w:rPr>
        <w:t>ента улучшилось.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Таким образом, заболевание:</w:t>
      </w:r>
    </w:p>
    <w:p w:rsidR="00000000" w:rsidRDefault="00074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по началу - острое;</w:t>
      </w:r>
    </w:p>
    <w:p w:rsidR="00000000" w:rsidRDefault="00074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по течению - прогрессирующее;</w:t>
      </w:r>
    </w:p>
    <w:p w:rsidR="00000000" w:rsidRDefault="00074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по патогенезу - обострение хронического.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ANAMNESIS VITAE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Родился в Пензенской области. Развивался в детстве нормально. Был здоровым ребенком. Учиться начал в 7</w:t>
      </w:r>
      <w:r>
        <w:rPr>
          <w:sz w:val="26"/>
        </w:rPr>
        <w:t xml:space="preserve"> лет. Учился легко.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Жилищные условия в настоящее время - удовлетворительные. Материальное обеспечение - неудовлетворительное. Питание - регулярное. Трудовая жизнь: пенсионер; в анамнезе профессиональные вредности не обнаружены.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Перенесенные заболевания - я</w:t>
      </w:r>
      <w:r>
        <w:rPr>
          <w:sz w:val="26"/>
        </w:rPr>
        <w:t>звенная болезнь, малярия, инфаркт миокарда, аденома предстательной железы, острый аппендицит. На протяжении длительного периода времени (более 10 лет) страдает стойким повышением артериального давления. Туберкулез, венерические заболевания, СПИД отрицает.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Травмы - ранение правой голени, полученное во время Великой отечественной войны. Операции: аппендэктомия.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Плановые прививки переносил нормально, без реакции на них. Переливания крови в анамнезе не было. Повышенной чувствительности к лекарственным препарата</w:t>
      </w:r>
      <w:r>
        <w:rPr>
          <w:sz w:val="26"/>
        </w:rPr>
        <w:t>м не наблюдается.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Вредные привычки: курение отрицает, алкоголь принимает спорадически в малых количествах. Употребление наркотиков отрицает. Контакт с инфекционными больными за последний месяц отрицает.</w:t>
      </w:r>
    </w:p>
    <w:p w:rsidR="00000000" w:rsidRDefault="00074888">
      <w:pPr>
        <w:pStyle w:val="a7"/>
      </w:pPr>
      <w:r>
        <w:t>Заболевания родственников: дочь прооперирована по пов</w:t>
      </w:r>
      <w:r>
        <w:t>оду желчекаменной болезни; внук имеет патологию клапанного аппарата сердца.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Женат, имеет двоих детей.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  <w:lang w:val="en-US"/>
        </w:rPr>
        <w:t>STATUS PRAESENS COMMUNIS</w:t>
      </w:r>
    </w:p>
    <w:p w:rsidR="00000000" w:rsidRDefault="00074888">
      <w:pPr>
        <w:spacing w:line="360" w:lineRule="auto"/>
        <w:jc w:val="center"/>
        <w:rPr>
          <w:rFonts w:ascii="Arial" w:hAnsi="Arial"/>
          <w:sz w:val="26"/>
          <w:lang w:val="en-US"/>
        </w:rPr>
      </w:pPr>
    </w:p>
    <w:p w:rsidR="00000000" w:rsidRDefault="00074888">
      <w:pPr>
        <w:spacing w:line="360" w:lineRule="auto"/>
        <w:jc w:val="center"/>
        <w:rPr>
          <w:sz w:val="26"/>
          <w:lang w:val="en-US"/>
        </w:rPr>
      </w:pPr>
      <w:r>
        <w:rPr>
          <w:sz w:val="26"/>
          <w:lang w:val="en-US"/>
        </w:rPr>
        <w:t xml:space="preserve">1. </w:t>
      </w:r>
      <w:r>
        <w:rPr>
          <w:sz w:val="26"/>
        </w:rPr>
        <w:t>ОБЩЕЕ</w:t>
      </w:r>
      <w:r>
        <w:rPr>
          <w:sz w:val="26"/>
          <w:lang w:val="en-US"/>
        </w:rPr>
        <w:t xml:space="preserve"> </w:t>
      </w:r>
      <w:r>
        <w:rPr>
          <w:sz w:val="26"/>
        </w:rPr>
        <w:t>СОСТОЯНИЕ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На момент курации общее состояние пациента - удовлетворительное. Сознание ясное. Положение больного - активн</w:t>
      </w:r>
      <w:r>
        <w:rPr>
          <w:sz w:val="26"/>
        </w:rPr>
        <w:t xml:space="preserve">ое. В контакт вступает легко. Температура тела - 36,7 </w:t>
      </w:r>
      <w:r>
        <w:rPr>
          <w:sz w:val="22"/>
          <w:vertAlign w:val="superscript"/>
        </w:rPr>
        <w:t>0</w:t>
      </w:r>
      <w:r>
        <w:rPr>
          <w:sz w:val="26"/>
        </w:rPr>
        <w:t>С. Вес - 69 кг. Рост - 166 см. Выражение лица - обычное.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2. ПОКРОВЫ ТЕЛА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Цвет кожи - нормальный, видимые слизистые имеют розовый цвет. Наблюдается иктеричность склер. В правой паховой области имеется </w:t>
      </w:r>
      <w:r>
        <w:rPr>
          <w:sz w:val="26"/>
        </w:rPr>
        <w:t>послеоперационный рубец длиной 9 см (после аппендэктомии). На коже правой голени также имеются рубцы вследствие ранения.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Кожа - обычной влажности, эластичность - в пределах возрастной нормы. Волосы седые, редкие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Ногти имеют нормальную форму и толщину.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Подк</w:t>
      </w:r>
      <w:r>
        <w:rPr>
          <w:sz w:val="26"/>
        </w:rPr>
        <w:t>ожная клетчатка развита умеренно.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Отеки - местные, в обеих нижних конечностях.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Лимфоузлы не увеличены, подвижны, имеют эластичную консистенцию, безболезненны.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3. ОПОРНО-ДВИГАТЕЛЬНЫЙ АППАРАТ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Мускулатура развита удовлетворительно. Мышечная сила - удовлетвор</w:t>
      </w:r>
      <w:r>
        <w:rPr>
          <w:sz w:val="26"/>
        </w:rPr>
        <w:t>ительная. Тонус мышц - нормальный.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Выраженных патологических изменений в костно-суставной системе не выявлено. Объем активных и пассивных движений в суставах удовлетворительный.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Голова - обычная, овальной формы, соотношение мозгового и лицевого черепа - 2:</w:t>
      </w:r>
      <w:r>
        <w:rPr>
          <w:sz w:val="26"/>
        </w:rPr>
        <w:t>1. Нос прямой, без дефектов и деформаций, глазные щели нормальные. Симптомы Горнера, Штельвага, Мебиуса, Дельримпля отрицательные.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Шея - короткая, нормальной толщины, симметричная. Симптом глотка отрицательный.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4. СИСТЕМА ОРГАНОВ ДЫХАНИЯ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Форма грудной кл</w:t>
      </w:r>
      <w:r>
        <w:rPr>
          <w:sz w:val="26"/>
        </w:rPr>
        <w:t>етки - нормостеническая; бочкообразная. Тип дыхания - смешанный с преобладанием нижне-реберного (брюшного). Частота дыхательных движений - 16 в 1 минуту. Дыхание достаточно глубокое. Незначительная экспираторная одышка.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При пальпации определяется ригидност</w:t>
      </w:r>
      <w:r>
        <w:rPr>
          <w:sz w:val="26"/>
        </w:rPr>
        <w:t>ь грудной клетки в продольном и поперечном направлениях. Окружность грудной клетки при спокойном дыхании - 99 см, при глубоком вдохе - 101 см, при полном выдохе - 97 см.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Перкуссия легких: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1). Топографическая перкуссия: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высота стояния верхушек легких сперед</w:t>
      </w:r>
      <w:r>
        <w:rPr>
          <w:sz w:val="26"/>
        </w:rPr>
        <w:t>и - 5 см от середины ключицы;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высота стояния верхушек легких сзади - на 1 см выше остистого отростка VII шейного позвонка;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ширина полей Кренига - 7 см;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нижние границы легких - см. табл. 1.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b/>
          <w:sz w:val="26"/>
        </w:rPr>
        <w:t>Таблица 1.</w:t>
      </w:r>
      <w:r>
        <w:rPr>
          <w:sz w:val="26"/>
        </w:rPr>
        <w:t xml:space="preserve"> Нижние границы легких пациента по топографическим линия</w:t>
      </w:r>
      <w:r>
        <w:rPr>
          <w:sz w:val="26"/>
        </w:rPr>
        <w:t>м.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25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Топографические линии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Правое легкое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Левое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легкое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paravertebralis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VII </w:t>
            </w:r>
            <w:r>
              <w:rPr>
                <w:sz w:val="26"/>
              </w:rPr>
              <w:t>межреберье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medioclavicularis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VII </w:t>
            </w:r>
            <w:r>
              <w:rPr>
                <w:sz w:val="26"/>
              </w:rPr>
              <w:t>ребро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axillaris anterior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VIII ребро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VIII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axillaris media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IX ребро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IX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axillaris posterior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X ребро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z w:val="26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scapularis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XI </w:t>
            </w:r>
            <w:r>
              <w:rPr>
                <w:sz w:val="26"/>
              </w:rPr>
              <w:t>ребро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XI </w:t>
            </w:r>
            <w:r>
              <w:rPr>
                <w:sz w:val="26"/>
              </w:rPr>
              <w:t>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Linea paravertebralis</w:t>
            </w:r>
          </w:p>
        </w:tc>
        <w:tc>
          <w:tcPr>
            <w:tcW w:w="3250" w:type="dxa"/>
          </w:tcPr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остистый отросток</w:t>
            </w:r>
          </w:p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XII грудного позвонка</w:t>
            </w:r>
          </w:p>
        </w:tc>
        <w:tc>
          <w:tcPr>
            <w:tcW w:w="2835" w:type="dxa"/>
          </w:tcPr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остистый отросток</w:t>
            </w:r>
          </w:p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XII грудного позвонка</w:t>
            </w:r>
          </w:p>
        </w:tc>
      </w:tr>
    </w:tbl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2). Сравнительная перкуссия: перкуторный звук коробочный над всей поверхностью легких.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Голосовое дрожание ра</w:t>
      </w:r>
      <w:r>
        <w:rPr>
          <w:sz w:val="26"/>
        </w:rPr>
        <w:t>вномерно ослаблено над всей поверхностью легких.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Аускультация легких: дыхание жесткое, ослабленное над всей поверхностью легких.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5. СЕРДЕЧНО-СОСУДИСТАЯ СИСТЕМА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Артерии не извитые, мягкие. Пульс - 72 удара в минуту, симметричный, умеренного наполнения, нап</w:t>
      </w:r>
      <w:r>
        <w:rPr>
          <w:sz w:val="26"/>
        </w:rPr>
        <w:t>ряженный, ритмичный. Пульс на лучевой, плечевой, тыльной артерии стопы, задней берцовой, подколенной, бедренной артериях не изменен.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Артериальное давление - 190 / 110 мм рт. столба. Повышенное артериальное давление сохранялось на протяжении всего периода к</w:t>
      </w:r>
      <w:r>
        <w:rPr>
          <w:sz w:val="26"/>
        </w:rPr>
        <w:t>урации, что говорит о стойком повышении артериального давления.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Заметно некоторое расширение вен нижних конечностей.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При осмотре области сердца сердечный толчок визуально не определяется. Пальпаторно верхушечный толчок расположен в V межреберье на уровне л</w:t>
      </w:r>
      <w:r>
        <w:rPr>
          <w:sz w:val="26"/>
        </w:rPr>
        <w:t>евой среднеключичной линии, толчок усиленный.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При перкуссии сердца определяются границы его абсолютной и относительной тупости (табл. 2).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b/>
          <w:sz w:val="26"/>
        </w:rPr>
        <w:t>Таблица 2.</w:t>
      </w:r>
      <w:r>
        <w:rPr>
          <w:sz w:val="26"/>
        </w:rPr>
        <w:t xml:space="preserve"> Границы абсолютной и относительной тупости сердца пациента.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25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Граница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Относительная тупость</w:t>
            </w:r>
          </w:p>
        </w:tc>
        <w:tc>
          <w:tcPr>
            <w:tcW w:w="2835" w:type="dxa"/>
          </w:tcPr>
          <w:p w:rsidR="00000000" w:rsidRDefault="00074888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Абсолютная тупос</w:t>
            </w:r>
            <w:r>
              <w:rPr>
                <w:b/>
                <w:sz w:val="26"/>
              </w:rPr>
              <w:t>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Правая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По правому краю грудины</w:t>
            </w:r>
          </w:p>
        </w:tc>
        <w:tc>
          <w:tcPr>
            <w:tcW w:w="2835" w:type="dxa"/>
          </w:tcPr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 1 см левее левого краю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Левая</w:t>
            </w:r>
          </w:p>
        </w:tc>
        <w:tc>
          <w:tcPr>
            <w:tcW w:w="3250" w:type="dxa"/>
          </w:tcPr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 левой среднеключич</w:t>
            </w:r>
            <w:r>
              <w:rPr>
                <w:sz w:val="26"/>
              </w:rPr>
              <w:softHyphen/>
              <w:t>ной линии</w:t>
            </w:r>
          </w:p>
        </w:tc>
        <w:tc>
          <w:tcPr>
            <w:tcW w:w="2835" w:type="dxa"/>
          </w:tcPr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 2 см кнутри от левой среднеключич</w:t>
            </w:r>
            <w:r>
              <w:rPr>
                <w:sz w:val="26"/>
              </w:rPr>
              <w:softHyphen/>
              <w:t>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Верхняя</w:t>
            </w:r>
          </w:p>
        </w:tc>
        <w:tc>
          <w:tcPr>
            <w:tcW w:w="3250" w:type="dxa"/>
          </w:tcPr>
          <w:p w:rsidR="00000000" w:rsidRDefault="000748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На уровне III ребра</w:t>
            </w:r>
          </w:p>
        </w:tc>
        <w:tc>
          <w:tcPr>
            <w:tcW w:w="2835" w:type="dxa"/>
          </w:tcPr>
          <w:p w:rsidR="00000000" w:rsidRDefault="00074888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 уровне IV межреберья</w:t>
            </w:r>
          </w:p>
        </w:tc>
      </w:tr>
    </w:tbl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Аускультация сердца: тоны сердца равномерно ос</w:t>
      </w:r>
      <w:r>
        <w:rPr>
          <w:sz w:val="26"/>
        </w:rPr>
        <w:t>лаблены во всех точках аускультации. Ритм - правильный.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Функциональные пробы: Штанге - 18 с., Собразе - 20 с.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6. СИСТЕМА ОРГАНОВ ПИЩЕВАРЕНИЯ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Губы имеют обычный цвет. Слизистая оболочка внутренних поверхностей губ, щек, твердого и мягкого неба - влажная, р</w:t>
      </w:r>
      <w:r>
        <w:rPr>
          <w:sz w:val="26"/>
        </w:rPr>
        <w:t>озового цвета.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Зубы:</w:t>
      </w:r>
    </w:p>
    <w:tbl>
      <w:tblPr>
        <w:tblW w:w="0" w:type="auto"/>
        <w:tblInd w:w="251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074888">
            <w:pPr>
              <w:spacing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>8 7 6 5 4+ 3 2 (1)</w:t>
            </w:r>
          </w:p>
        </w:tc>
        <w:tc>
          <w:tcPr>
            <w:tcW w:w="2410" w:type="dxa"/>
          </w:tcPr>
          <w:p w:rsidR="00000000" w:rsidRDefault="00074888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1 2 3 (4) 5 (6) 7 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074888">
            <w:pPr>
              <w:spacing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>8 7 6 5 (4) 3 (2) 1</w:t>
            </w:r>
          </w:p>
        </w:tc>
        <w:tc>
          <w:tcPr>
            <w:tcW w:w="2410" w:type="dxa"/>
          </w:tcPr>
          <w:p w:rsidR="00000000" w:rsidRDefault="00074888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1 2 3 (4) 5 6+ 7о 8</w:t>
            </w:r>
          </w:p>
        </w:tc>
      </w:tr>
    </w:tbl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Условные обозначения: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“х” - зуб отсутствует;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“4о” - кариозный зуб;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“7+” - зуб пломбированный;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(3) - коронка;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(3,4,5) - мост.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Язык - умеренно обложен белы</w:t>
      </w:r>
      <w:r>
        <w:rPr>
          <w:sz w:val="26"/>
        </w:rPr>
        <w:t>м налетом; сосочки выражены. Зев - обычной окраски, миндалины - обычной величины.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Форма живота - обычная. Окраска кожи - обычная. В правой паховой области расположен рубец. Эпигастральный угол близок к прямому. Живот симметричен, участвует в акте дыхания, </w:t>
      </w:r>
      <w:r>
        <w:rPr>
          <w:sz w:val="26"/>
        </w:rPr>
        <w:t>хотя наблюдается некоторое щажение области правого подреберья.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При поверхностной пальпации живота определяется болезненность и некоторое напряжение передней брюшной стенки в области правого подреберья, особенно в точке Кера (точка желчного пузыря).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Симптом</w:t>
      </w:r>
      <w:r>
        <w:rPr>
          <w:sz w:val="26"/>
        </w:rPr>
        <w:t xml:space="preserve"> Щеткина-Блюмберга отрицательный.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Глубокая пальпация: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сигмовидная кишка - в виде гладкого, слегка плотного подвижного цилиндра, безболезненная;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слепая кишка - в виде эластичного безболезненного малоподвижного цилиндра, при глубокой пальпации наблюдается не</w:t>
      </w:r>
      <w:r>
        <w:rPr>
          <w:sz w:val="26"/>
        </w:rPr>
        <w:t>которое урчание;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нисходящая ободочная кишка - в виде безболезненного цилиндра;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восходящая ободочная кишка - в виде безболезненного цилиндра;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поперечно-ободочная кишка: в виде эластичного безболезненного цилиндра;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желудок: нижняя граница - на 4 см выше пупк</w:t>
      </w:r>
      <w:r>
        <w:rPr>
          <w:sz w:val="26"/>
        </w:rPr>
        <w:t>а; большая кривизна пальпируется в виде гладкого эластичного валика;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печень: нижний край печени на 1,5-2 см выступает из-под правой реберной дуги, гладкий, болезненный;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селезенка не пальпируется;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желчный пузырь пальпируется, несколько увеличен в размерах и</w:t>
      </w:r>
      <w:r>
        <w:rPr>
          <w:sz w:val="26"/>
        </w:rPr>
        <w:t xml:space="preserve"> незначительно уплотнен; при глубокой пальпации в области желчного пузыря определяется точка наибольшей болезненности живота.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Перкуссия живота.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Границы печени по Курлову: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верхняя (по правой среднеключичной линии) - VI ребро;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нижняя по правой среднеключичн</w:t>
      </w:r>
      <w:r>
        <w:rPr>
          <w:sz w:val="26"/>
        </w:rPr>
        <w:t>ой линии - на 2 см ниже края реберной дуги;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нижняя по передней срединной линии - на 1 см ниже границы верхней и средней трети расстояния от пупка до мечевидного отростка;</w:t>
      </w:r>
    </w:p>
    <w:p w:rsidR="00000000" w:rsidRDefault="0007488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нижняя по левой реберной дуге - на 1,5 см левее левой парастернальной линии.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Размеры</w:t>
      </w:r>
      <w:r>
        <w:rPr>
          <w:sz w:val="26"/>
        </w:rPr>
        <w:t xml:space="preserve"> печени по Курлову:</w:t>
      </w:r>
    </w:p>
    <w:p w:rsidR="00000000" w:rsidRDefault="00074888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по правой среднеключичной линии - 11 см;</w:t>
      </w:r>
    </w:p>
    <w:p w:rsidR="00000000" w:rsidRDefault="00074888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по передней срединной линии - 10 см;</w:t>
      </w:r>
    </w:p>
    <w:p w:rsidR="00000000" w:rsidRDefault="00074888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по левой реберной дуге - 8 см.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Аускультация живота: кишечные шумы - обычные.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Исследование прямой кишки: патологических образований в области заднего прохода </w:t>
      </w:r>
      <w:r>
        <w:rPr>
          <w:sz w:val="26"/>
        </w:rPr>
        <w:t>не выявлено.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7. МОЧЕПОЛОВАЯ СИСТЕМА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При осмотре поясничная область симметричная.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Почки пальпаторно не определяются. Симптом Пастернацкого отрицательный с обеих сторон. Мочевой пузырь пальпаторно и перкуторно не определяется (ввиду его опорожненного состоя</w:t>
      </w:r>
      <w:r>
        <w:rPr>
          <w:sz w:val="26"/>
        </w:rPr>
        <w:t>ния).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Кожа мошонки - обычная, ткани мошонки без патологических образований. Яички расположены в мошонке, симметричны, имеют гладкую поверхность, безболезненны. Придатки яичка мягкоэластической консистенции, симметричные, безболезненные.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sz w:val="26"/>
        </w:rPr>
        <w:t>8. НЕРВНАЯ СИСТЕМ</w:t>
      </w:r>
      <w:r>
        <w:rPr>
          <w:sz w:val="26"/>
        </w:rPr>
        <w:t>А И ОРГАНЫ ЧУВСТВ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Речь обычная, коленные рефлексы - симметричны, обычные. Глоточные и роговичные рефлексы - обычные. Дермографизм - красный, появляется через 10 сек., держится около 100 сек.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STATUS LOCALIS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Исследуется правое подреберье (печень и желчный </w:t>
      </w:r>
      <w:r>
        <w:rPr>
          <w:sz w:val="26"/>
        </w:rPr>
        <w:t>пузырь).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1. ОСМОТР. При осмотре области правого подреберья определяется ослабленное участие брюшной стенки в этой области в акте дыхания.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2. ПАЛЬПАЦИЯ. При поверхностной пальпации в правом подреберье наблюдается напряженность и болезненность передней брюшн</w:t>
      </w:r>
      <w:r>
        <w:rPr>
          <w:sz w:val="26"/>
        </w:rPr>
        <w:t>ой стенки с эпицентром боли в точке желчного пузыря. При топографической пальпации определяется увеличение печени - нижний край на 2 см ниже реберной дуги, болезненный. Желчный пузырь пальпируется, несколько увеличен, незначительно уплотнен. При глубокой п</w:t>
      </w:r>
      <w:r>
        <w:rPr>
          <w:sz w:val="26"/>
        </w:rPr>
        <w:t>альпации желчного пузыря наблюдается его резкая болезненность, наибольшая среди органов брюшной полости.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Симптомы Захарьина, Василенко, Кера, Мерфи, Ортнера, Лепене - положительные, симптом Мюсси (правосторонний френикус-симптом) - отрицательный.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3. ПЕРКУС</w:t>
      </w:r>
      <w:r>
        <w:rPr>
          <w:sz w:val="26"/>
        </w:rPr>
        <w:t xml:space="preserve">СИЯ. При топографической перкуссии наблюдается смещение нижних границ печени по Курлову по всем топографическим линиям вниз (по правой среднеключичной - на 2 см, по передней срединной - на 1 см, по левой реберной дуге - на 1,5 см влево и вниз), увеличение </w:t>
      </w:r>
      <w:r>
        <w:rPr>
          <w:sz w:val="26"/>
        </w:rPr>
        <w:t>размеров печени по Курлову (по правой среднеключичной линии - на 2 см, по передней срединной - на 2 см, по левой реберной дуге - на 1 см).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rFonts w:ascii="Arial" w:hAnsi="Arial"/>
          <w:sz w:val="26"/>
        </w:rPr>
        <w:t>ПРЕДВАРИТЕЛЬНЫЙ ДИАГНОЗ ОСНОВНОГО ЗАБОЛЕВАНИЯ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У курируемого больного патологический процесс локализуется в желчном </w:t>
      </w:r>
      <w:r>
        <w:rPr>
          <w:sz w:val="26"/>
        </w:rPr>
        <w:t xml:space="preserve">пузыре и печени, так как главная жалоба курируемого больного - острая, приступообразная боль “царапающего” характера в правом подреберье, появляющаяся или усиливающаяся обычно в связи с приемом пищи, особенно жирной и в большом количестве, иррадиирующая в </w:t>
      </w:r>
      <w:r>
        <w:rPr>
          <w:sz w:val="26"/>
        </w:rPr>
        <w:t>эпигастральную область и в спину в области нижнего угла правой лопатки;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а при объективном обследовании обнаружено: при поверхностной пальпации в области желчного пузыря наблюдается напряженность мышц передней брюшной стенки и эпицентр болезненности; при гл</w:t>
      </w:r>
      <w:r>
        <w:rPr>
          <w:sz w:val="26"/>
        </w:rPr>
        <w:t xml:space="preserve">убокой пальпации желчного пузыря определяется его некоторое увеличение, незначительное уплотнение и резкая болезненность; симптомы Захарьина, Василенко, Кера, Мерфи, Ортнера, Лепене - положительные; нижний край печени выступает из-под правой реберной дуги </w:t>
      </w:r>
      <w:r>
        <w:rPr>
          <w:sz w:val="26"/>
        </w:rPr>
        <w:t>на 2 см, болезненный; размеры печени по Курлову увеличены; при осмотре склер обнаружена их иктеричность.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Заболевание, послужившее причиной поступления больного в стационар, началось у него внезапно, однако, на основании данных анамнеза, учитывая наличие у </w:t>
      </w:r>
      <w:r>
        <w:rPr>
          <w:sz w:val="26"/>
        </w:rPr>
        <w:t>больного жалоб на незначительные боли в правом подреберье задолго до поступления, есть все основания считать, что патологический процесс у больного по началу - острый, а по патогенезу - обострение хронического.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Заболевание можно считать прогрессирующим, та</w:t>
      </w:r>
      <w:r>
        <w:rPr>
          <w:sz w:val="26"/>
        </w:rPr>
        <w:t>к как, несмотря на успешно проводимую инфузионную терапию в стационаре, при рассмотрении динамики болезни на более продолжительном отрезке времени (от момента появления первых жалоб, которые не послужили причиной обращения к врачу, до момента курации) осно</w:t>
      </w:r>
      <w:r>
        <w:rPr>
          <w:sz w:val="26"/>
        </w:rPr>
        <w:t>вные симптомы прогрессируют. Общее состояние больного за период лечения в стационаре улучшилось.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По характеру патологического процесса заболевание курируемого больного воспалительное, так как наблюдаются следующие местные и общие признаки воспаления: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локал</w:t>
      </w:r>
      <w:r>
        <w:rPr>
          <w:sz w:val="26"/>
        </w:rPr>
        <w:t>ьная напряженность мышц передней брюшной стенки в правом подреберье, болезненность при поверхностной пальпации;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болезненность желчного пузыря и печени при глубокой пальпации;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четкая локализация боли при пальпации указывает на воспалительное поражение висце</w:t>
      </w:r>
      <w:r>
        <w:rPr>
          <w:sz w:val="26"/>
        </w:rPr>
        <w:t>рального листка брюшины и раздражение париетального листка;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наличие у больного в начале заболевания общих проявлений в виде лихорадки, общей слабости и разбитости.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Таким образом, патологический процесс, локализующийся желчном пузыре, 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по началу - острый;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о течению - прогрессирующий;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по патогенезу - обострение хронического;</w:t>
      </w:r>
    </w:p>
    <w:p w:rsidR="00000000" w:rsidRDefault="00074888">
      <w:pPr>
        <w:numPr>
          <w:ilvl w:val="0"/>
          <w:numId w:val="1"/>
        </w:num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по характеру - воспалительный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дает основание поставить предварительный диагноз: острый холецистит, возникший как обострение хронического.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sz w:val="26"/>
        </w:rPr>
      </w:pPr>
      <w:r>
        <w:rPr>
          <w:rFonts w:ascii="Arial" w:hAnsi="Arial"/>
          <w:sz w:val="26"/>
        </w:rPr>
        <w:t>ПЛАН ОБСЛЕДОВАНИЯ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Ввиду того, что у больного у</w:t>
      </w:r>
      <w:r>
        <w:rPr>
          <w:sz w:val="26"/>
        </w:rPr>
        <w:t>становлен предварительный диагноз “острый холецистит”, необходимо провести следующие дополнительные исследования: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а) общие: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1. Общий анализ крови.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2. Общий анализ мочи.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3. Анализ крови на реакцию Вассермана и ВИЧ.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4. Обзорное рентгенологическое исследовани</w:t>
      </w:r>
      <w:r>
        <w:rPr>
          <w:sz w:val="26"/>
        </w:rPr>
        <w:t>е органов грудной и брюшной полости.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5. Анализ кала на яйца глистов.</w:t>
      </w: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>б) специальные: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1. Фиброгастроскопия.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2. Пероральная или внутривенная холецистография.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3. Если необходимо - эндоскопическая ретроградная холедохопанкреатография.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4. УЗИ желчного пузыря.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5</w:t>
      </w:r>
      <w:r>
        <w:rPr>
          <w:sz w:val="26"/>
        </w:rPr>
        <w:t>. Дуоденальное зондирование.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6. Биохимический анализ крови с учетом изоферментных спектров, количественное определение фракций билирубина в крови.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7. Радиоизотопное сканирование печени и желчного пузыря.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Для оценки основных параметров гомеостаза больному </w:t>
      </w:r>
      <w:r>
        <w:rPr>
          <w:sz w:val="26"/>
        </w:rPr>
        <w:t>необходимо провести следующие дополнительные исследования: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1. ЭКГ с нагрузочными пробами.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2. Спирография с функциональными пробами или интегральная плетизмография.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4. Коагулограмма.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5. Анализ мочи по Зимницкому.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6. Биохимический анализ крови - определение </w:t>
      </w:r>
      <w:r>
        <w:rPr>
          <w:sz w:val="26"/>
        </w:rPr>
        <w:t>почечного и печеночного комплексов.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РЕЗУЛЬТАТЫ ДОПОЛНИТЕЛЬНЫХ ИССЛЕДОВАНИЙ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  <w:u w:val="single"/>
        </w:rPr>
      </w:pPr>
      <w:r>
        <w:rPr>
          <w:sz w:val="26"/>
          <w:u w:val="single"/>
        </w:rPr>
        <w:t>1. Общий анализ крови.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Эр. - 4,4 Т/л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Hb - 130 г/л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ЦП - 0,88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СОЭ - 10 мм/ч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Лейк. - 8,1 Г/л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Эозин. - 7 % (абс. - 0,57 Г/л)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Сегм. - 39 % (абс. - 3,16 Г/л)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Лимф. - 48 % (абс. - 3,89 Г</w:t>
      </w:r>
      <w:r>
        <w:rPr>
          <w:sz w:val="26"/>
        </w:rPr>
        <w:t>/л)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Моноц. - 6 % (абс. - 0,49 Г/л)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Заключение: на гемограмме наблюдается относительная и абсолютная эозинофилия, абсолютный и относительный лимфоцитоз, относительная нейтропения с нормальным абсолютным количеством нейтрофилов; имеется резкий сдвиг лейкоци</w:t>
      </w:r>
      <w:r>
        <w:rPr>
          <w:sz w:val="26"/>
        </w:rPr>
        <w:t>тарной формулы вправо; индекс сдвига ядра нейтрофилов = 0.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Сдвиг формулы вправо на фоне нормального абсолютного числа лейкоцитов вообще и нейтрофилов в частности свидетельствует о наличии вялотекущего хронического воспалительного процесса. Эозинофилия и ли</w:t>
      </w:r>
      <w:r>
        <w:rPr>
          <w:sz w:val="26"/>
        </w:rPr>
        <w:t>мфоцитоз могут свидетельствовать об аллергическом либо аутоиммунном компоненте заболевания.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  <w:u w:val="single"/>
        </w:rPr>
      </w:pPr>
      <w:r>
        <w:rPr>
          <w:sz w:val="26"/>
          <w:u w:val="single"/>
        </w:rPr>
        <w:t>2. Общий анализ мочи: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Количество - 100 мл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Цвет - желтый; прозрачная.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pH = 6,0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Отн. плотн. = 1011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Белок - нет.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Глюкоза - нет.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Лейкоциты - 2-4 в поле зр.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Плоский эпи</w:t>
      </w:r>
      <w:r>
        <w:rPr>
          <w:sz w:val="26"/>
        </w:rPr>
        <w:t>т. - 0-1 в поле зр.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Заключение: основные показатели общего анализа мочи в пределах нормы.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3. Фиброгастроскопия.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Пищевод проходим, кардия смыкается. Желудок правильной формы. Слизистая розовая. Складчатость обычная, перистость умеренная, привратник проход</w:t>
      </w:r>
      <w:r>
        <w:rPr>
          <w:sz w:val="26"/>
        </w:rPr>
        <w:t>им, не деформирован. Луковица двенадцатиперстной кишки не деформирована, слизистая обычная, просвет не уменьшен. Воспаление не выражено. Желчь не поступает.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4. УЗИ желчного пузыря.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Заключение: острый калькулезный холецистит.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5. ЭКГ: признаки хронической </w:t>
      </w:r>
      <w:r>
        <w:rPr>
          <w:sz w:val="26"/>
        </w:rPr>
        <w:t>коронарной недостаточности.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ЭПИКРИЗ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Больной Петрушкин Петр Иванович 26 февраля 1998 г. поступил в хирургическое отделение КОСМП с жалобами на острую, приступообразную боль “царапающего” характера в правом подреберье, появляющуюся или усиливающуюся обычно</w:t>
      </w:r>
      <w:r>
        <w:rPr>
          <w:sz w:val="26"/>
        </w:rPr>
        <w:t xml:space="preserve"> в связи с приемом пищи, особенно жирной и в большом количестве, иррадиирующую в эпигастральную область, левое подреберье, в спину в области нижнего угла правой лопатки. Объективно при обследовании по поводу главной жалобы обнаружено: болезненность и напря</w:t>
      </w:r>
      <w:r>
        <w:rPr>
          <w:sz w:val="26"/>
        </w:rPr>
        <w:t>женность передней брюшной стенки в правом подреберье с эпицентром в проекции желчного пузыря при поверхностной пальпации; болезненность при глубокой пальпации желчного пузыря, его увеличение и незначительное уплотнение; увеличение печени, выступание нижнег</w:t>
      </w:r>
      <w:r>
        <w:rPr>
          <w:sz w:val="26"/>
        </w:rPr>
        <w:t>о края на 2 см ниже правой реберной дуги, его болезненность при пальпации; положительные симптомы Захарьина, Василенко, Кера, Мерфи, Ортнера, Лепене; при выполнении УЗИ желчного пузыря обнаружены камни в его полости; общий анализ крови указывает на наличие</w:t>
      </w:r>
      <w:r>
        <w:rPr>
          <w:sz w:val="26"/>
        </w:rPr>
        <w:t xml:space="preserve"> хронического воспалительного процесса. 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При обследовании системы органов дыхания обнаружено расширение границ легких, эмфизематозная грудная клетка, коробочный звук при перкуссии легких, жесткое дыхание.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Исследование сердечно-сосудистой системы показало о</w:t>
      </w:r>
      <w:r>
        <w:rPr>
          <w:sz w:val="26"/>
        </w:rPr>
        <w:t>слабление тонов сердца, наличие отеков на ногах, появляющихся вечером, признаки хронической коронарной недостаточности на ЭКГ, стойкое повышение артериального давления.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Таким образом, на основании классического физикального обследования больного, дополните</w:t>
      </w:r>
      <w:r>
        <w:rPr>
          <w:sz w:val="26"/>
        </w:rPr>
        <w:t>льных исследований и данных анамнеза был поставлен диагноз: хронический калькулезный холецистит в стадии обострения; сопутствующие заболевания - ишемическая болезнь сердца, гипертоническая болезнь, бронхит, эмфизема легких; осложнения - гепатит. В результа</w:t>
      </w:r>
      <w:r>
        <w:rPr>
          <w:sz w:val="26"/>
        </w:rPr>
        <w:t>те проведенной терапии наступило клиническое улучшение и больной выбыл из стационара 16.03.98. для дальнейшего амбулаторного лечения.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right"/>
        <w:rPr>
          <w:rFonts w:ascii="Arial" w:hAnsi="Arial"/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ПРОГНОЗ</w:t>
      </w: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Для жизни - благоприятный.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Для полного выздоровления - неблагоприятный.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СОВЕТЫ БОЛЬНОМУ ПРИ ВЫПИСКЕ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1. Соблюд</w:t>
      </w:r>
      <w:r>
        <w:rPr>
          <w:sz w:val="26"/>
        </w:rPr>
        <w:t>ать рациональный режим дня и питания (дробное питание 5-6 раз в день, минеральные воды).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2. Воздерживаться от приема больших количеств жирной и острой пищи, пряностей, копченостей.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3. Воздерживаться от чрезмерных физических нагрузок, стрессов, нервно-психи</w:t>
      </w:r>
      <w:r>
        <w:rPr>
          <w:sz w:val="26"/>
        </w:rPr>
        <w:t>ческого перенапряжения. Вести подвижный образ жизни, чаще бывать на свежем воздухе.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4. Продолжать лечение в амбулаторных условиях, выполняя все предписания и рекомендации лечащего врача. Особое внимание следует обратить на нормализацию моторной функции жел</w:t>
      </w:r>
      <w:r>
        <w:rPr>
          <w:sz w:val="26"/>
        </w:rPr>
        <w:t>чного пузыря, борьбу с отложением камней в желчном пузыре (например, прием уродезоксихолевой и хенодезоксихолевой кислот). Проводить патогенетическое (антисклеротическая терапия) и симптоматическое (купирование приступов боли в области сердца) лечение ИБС,</w:t>
      </w:r>
      <w:r>
        <w:rPr>
          <w:sz w:val="26"/>
        </w:rPr>
        <w:t xml:space="preserve"> а также активную антигипертензивную терапию. Для нормализации функции внешнего дыхания показан прием отхаркивающих препаратов, ЛФК с элементами дыхательной гимнастики.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ЭТИОЛОГИЯ  И ПАТОГЕНЕЗ ОСНОВНОГО ЗАБОЛЕВАНИЯ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Калькулезный холецистит (синоним - желче</w:t>
      </w:r>
      <w:r>
        <w:rPr>
          <w:sz w:val="26"/>
        </w:rPr>
        <w:t>каменная болезнь, cholelithiasis) - заболевание, обусловленное наличием конкрементов в желчном пузыре и желчных протоках. Различают холестериновые, пигментные и смешанные камни (конкременты).</w:t>
      </w:r>
    </w:p>
    <w:p w:rsidR="00000000" w:rsidRDefault="00074888">
      <w:pPr>
        <w:spacing w:line="360" w:lineRule="auto"/>
        <w:jc w:val="center"/>
        <w:rPr>
          <w:caps/>
          <w:sz w:val="26"/>
        </w:rPr>
      </w:pPr>
      <w:r>
        <w:rPr>
          <w:caps/>
          <w:sz w:val="26"/>
        </w:rPr>
        <w:t>Этиология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Выделяют следующие основные группы этиологических факт</w:t>
      </w:r>
      <w:r>
        <w:rPr>
          <w:sz w:val="26"/>
        </w:rPr>
        <w:t>оров, приводящих к развитию калькулезного холецистита: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1. Воспалительный процесс в стенке желчного пузыря бактериальной, вирусной (вирус гепатита), токсической или аллергической этиологии.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2. Холестаз.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3. Нарушения липидного, электролитного или пигментного</w:t>
      </w:r>
      <w:r>
        <w:rPr>
          <w:sz w:val="26"/>
        </w:rPr>
        <w:t xml:space="preserve"> обмена в организме.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4. Дискинезия желчного пузыря и желчевыводящих путей, которая часто бывает вызвана нарушениями нейроэндокринной регуляции моторики желчевыводящих путей и желчного пузыря, гиподинамией.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5. Алиментарный фактор (несбалансированное питание</w:t>
      </w:r>
      <w:r>
        <w:rPr>
          <w:sz w:val="26"/>
        </w:rPr>
        <w:t xml:space="preserve"> с преобладанием в рационе грубодисперсных животных жиров в ущерб растительным).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6. Врожденные анатомические особенности структуры желчного пузыря и желчевыводящих путей, аномалии их развития.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7. Паренхиматозные заболевания печени.</w:t>
      </w:r>
    </w:p>
    <w:p w:rsidR="00000000" w:rsidRDefault="00074888">
      <w:pPr>
        <w:spacing w:line="360" w:lineRule="auto"/>
        <w:jc w:val="center"/>
        <w:rPr>
          <w:caps/>
          <w:sz w:val="26"/>
        </w:rPr>
      </w:pPr>
      <w:r>
        <w:rPr>
          <w:caps/>
          <w:sz w:val="26"/>
        </w:rPr>
        <w:t>Патогенез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Выделяют две о</w:t>
      </w:r>
      <w:r>
        <w:rPr>
          <w:sz w:val="26"/>
        </w:rPr>
        <w:t>сновные концепции патогенеза калькулезного холецистита:</w:t>
      </w:r>
    </w:p>
    <w:p w:rsidR="00000000" w:rsidRDefault="00074888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концепция метаболический нарушений;</w:t>
      </w:r>
    </w:p>
    <w:p w:rsidR="00000000" w:rsidRDefault="00074888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</w:rPr>
      </w:pPr>
      <w:r>
        <w:rPr>
          <w:sz w:val="26"/>
        </w:rPr>
        <w:t>воспалительная концепция.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На сегодняшний день эти две концепции рассматриваются как возможные патогенетические варианты (механизмы) развития калькулезного холецист</w:t>
      </w:r>
      <w:r>
        <w:rPr>
          <w:sz w:val="26"/>
        </w:rPr>
        <w:t>ита - печеночно-обменный (концепция метаболических нарушений) и пузырно-воспалительный (воспалительная концепция).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Согласно концепции метаболических нарушений, основной механизм образования желчных камней связан со снижением холато-холестеринового коэффици</w:t>
      </w:r>
      <w:r>
        <w:rPr>
          <w:sz w:val="26"/>
        </w:rPr>
        <w:t>ента (желчные кислоты / холестерин), т.е. при снижении содержания в желчи желчных кислот и нарастании холестерина. К снижению холато-холестеринового коэффициента могут приводить нарушения липидного обмена (общее ожирение, гиперхолестеринемия), алиментарные</w:t>
      </w:r>
      <w:r>
        <w:rPr>
          <w:sz w:val="26"/>
        </w:rPr>
        <w:t xml:space="preserve"> факторы (избыток животных жиров в пище), поражения печеночной паренхимы токсического и инфекционного генеза. Снижение холато-холестеринового коэффициента приводит к нарушению коллоидных свойств желчи и к образованию холестериновых или смешанных камней.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Со</w:t>
      </w:r>
      <w:r>
        <w:rPr>
          <w:sz w:val="26"/>
        </w:rPr>
        <w:t>гласно воспалительной концепции, желчные камни формируются под влиянием воспалительного процесса в желчном пузыре, приводящего к физико-химическим сдвигам в составе желчи. Изменение pH желчи в кислую сторону, характерное для любого воспаления, приводит к у</w:t>
      </w:r>
      <w:r>
        <w:rPr>
          <w:sz w:val="26"/>
        </w:rPr>
        <w:t>меньшению защитных свойств коллоидов, в частности - белковых фракций желчи, переходу мицеллы билирубина из взвешенного состояния в кристаллическое. При этом образуется первичный центр кристаллизации, на который наслаиваются слущенные клетки эпителия, микро</w:t>
      </w:r>
      <w:r>
        <w:rPr>
          <w:sz w:val="26"/>
        </w:rPr>
        <w:t>организмы, слизь, другие компоненты желчи.</w:t>
      </w:r>
    </w:p>
    <w:p w:rsidR="00000000" w:rsidRDefault="00074888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По современным представлениям, в начальной стадии развития калькулезного холецистита может доминировать один из этих механизмов. Однако, на поздних стадиях болезни функционируют оба механизма. Образование камней и</w:t>
      </w:r>
      <w:r>
        <w:rPr>
          <w:sz w:val="26"/>
        </w:rPr>
        <w:t>нициирует застой желчи, воспалительный процесс, камни служат центрами кристаллизации желчи. Таким образом, порочный круг замыкается и болезнь прогрессирует.</w:t>
      </w:r>
    </w:p>
    <w:p w:rsidR="00000000" w:rsidRDefault="00074888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СПИСОК ИСПОЛЬЗОВАННОЙ ЛИТЕРАТУРЫ</w:t>
      </w:r>
    </w:p>
    <w:p w:rsidR="00000000" w:rsidRDefault="00074888">
      <w:pPr>
        <w:spacing w:line="360" w:lineRule="auto"/>
        <w:jc w:val="both"/>
        <w:rPr>
          <w:sz w:val="26"/>
        </w:rPr>
      </w:pPr>
    </w:p>
    <w:p w:rsidR="00000000" w:rsidRDefault="0007488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Малая медицинская энциклопедия: в 6-ти т. АМН СССР. Гл. ред. В.И.</w:t>
      </w:r>
      <w:r>
        <w:rPr>
          <w:sz w:val="26"/>
        </w:rPr>
        <w:t>Покровский. - М.: Советская энциклопедия, 1991.</w:t>
      </w:r>
    </w:p>
    <w:p w:rsidR="00000000" w:rsidRDefault="0007488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Общая хирургия.  В.И.Стручков - М.: Медицина, 1978.</w:t>
      </w:r>
    </w:p>
    <w:p w:rsidR="00000000" w:rsidRDefault="0007488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Основы семиотики заболеваний внутренних органов.  Атлас  /Учебное пособие / А.В.Струтынский, А.П.Баранов, Г.Е.Ройтберг, Ю.П.Гапоненков. - М.: Изд-во РГМУ, 1</w:t>
      </w:r>
      <w:r>
        <w:rPr>
          <w:sz w:val="26"/>
        </w:rPr>
        <w:t>997.</w:t>
      </w:r>
    </w:p>
    <w:p w:rsidR="00000000" w:rsidRDefault="0007488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Патологическая физиология / Под ред. А.Д.Адо, В.В.Новицкого. - Томск: Издательство Томского университета, 1994.</w:t>
      </w:r>
    </w:p>
    <w:p w:rsidR="00000000" w:rsidRDefault="0007488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Пропедевтика внутренних болезней.  Под ред. В.Х.Василенко, А.Л.Гребенева - М.: Медицина, 1983.</w:t>
      </w:r>
    </w:p>
    <w:p w:rsidR="00074888" w:rsidRDefault="0007488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Терапия: пер. с англ. доп. // гл. ред. А.Г.Ч</w:t>
      </w:r>
      <w:r>
        <w:rPr>
          <w:sz w:val="26"/>
        </w:rPr>
        <w:t>учалин - М.: ГЭОТАР МЕДИЦИНА, 1997.</w:t>
      </w:r>
    </w:p>
    <w:sectPr w:rsidR="00074888">
      <w:headerReference w:type="even" r:id="rId8"/>
      <w:headerReference w:type="default" r:id="rId9"/>
      <w:pgSz w:w="11907" w:h="16840"/>
      <w:pgMar w:top="851" w:right="1134" w:bottom="913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88" w:rsidRDefault="00074888">
      <w:r>
        <w:separator/>
      </w:r>
    </w:p>
  </w:endnote>
  <w:endnote w:type="continuationSeparator" w:id="0">
    <w:p w:rsidR="00074888" w:rsidRDefault="0007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88" w:rsidRDefault="00074888">
      <w:r>
        <w:separator/>
      </w:r>
    </w:p>
  </w:footnote>
  <w:footnote w:type="continuationSeparator" w:id="0">
    <w:p w:rsidR="00074888" w:rsidRDefault="0007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48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074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488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sz w:val="22"/>
      </w:rPr>
      <w:t xml:space="preserve">- </w:t>
    </w:r>
    <w:r>
      <w:rPr>
        <w:rStyle w:val="a4"/>
        <w:sz w:val="22"/>
      </w:rPr>
      <w:fldChar w:fldCharType="begin"/>
    </w:r>
    <w:r>
      <w:rPr>
        <w:rStyle w:val="a4"/>
        <w:sz w:val="22"/>
      </w:rPr>
      <w:instrText xml:space="preserve">PAGE  </w:instrText>
    </w:r>
    <w:r>
      <w:rPr>
        <w:rStyle w:val="a4"/>
        <w:sz w:val="22"/>
      </w:rPr>
      <w:fldChar w:fldCharType="separate"/>
    </w:r>
    <w:r w:rsidR="0031617A">
      <w:rPr>
        <w:rStyle w:val="a4"/>
        <w:noProof/>
        <w:sz w:val="22"/>
      </w:rPr>
      <w:t>2</w:t>
    </w:r>
    <w:r>
      <w:rPr>
        <w:rStyle w:val="a4"/>
        <w:sz w:val="22"/>
      </w:rPr>
      <w:fldChar w:fldCharType="end"/>
    </w:r>
    <w:r>
      <w:rPr>
        <w:rStyle w:val="a4"/>
        <w:sz w:val="22"/>
      </w:rPr>
      <w:t xml:space="preserve"> -</w:t>
    </w:r>
  </w:p>
  <w:p w:rsidR="00000000" w:rsidRDefault="000748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B757C1"/>
    <w:multiLevelType w:val="singleLevel"/>
    <w:tmpl w:val="B31845F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4C5F0E31"/>
    <w:multiLevelType w:val="singleLevel"/>
    <w:tmpl w:val="523898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7A"/>
    <w:rsid w:val="00074888"/>
    <w:rsid w:val="003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sz w:val="26"/>
      <w:lang w:val="uk-UA"/>
    </w:rPr>
  </w:style>
  <w:style w:type="paragraph" w:styleId="a7">
    <w:name w:val="Body Text Indent"/>
    <w:basedOn w:val="a"/>
    <w:semiHidden/>
    <w:pPr>
      <w:spacing w:line="360" w:lineRule="auto"/>
      <w:ind w:firstLine="284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sz w:val="26"/>
      <w:lang w:val="uk-UA"/>
    </w:rPr>
  </w:style>
  <w:style w:type="paragraph" w:styleId="a7">
    <w:name w:val="Body Text Indent"/>
    <w:basedOn w:val="a"/>
    <w:semiHidden/>
    <w:pPr>
      <w:spacing w:line="360" w:lineRule="auto"/>
      <w:ind w:firstLine="284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державна медична академія</vt:lpstr>
    </vt:vector>
  </TitlesOfParts>
  <Company/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державна медична академія</dc:title>
  <dc:creator>Капуста Юрий</dc:creator>
  <cp:lastModifiedBy>Igor</cp:lastModifiedBy>
  <cp:revision>3</cp:revision>
  <cp:lastPrinted>1998-04-22T19:24:00Z</cp:lastPrinted>
  <dcterms:created xsi:type="dcterms:W3CDTF">2024-07-18T06:52:00Z</dcterms:created>
  <dcterms:modified xsi:type="dcterms:W3CDTF">2024-07-18T06:52:00Z</dcterms:modified>
</cp:coreProperties>
</file>