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11" w:rsidRPr="00624223" w:rsidRDefault="00573911" w:rsidP="0057391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24223">
        <w:rPr>
          <w:b/>
          <w:bCs/>
          <w:sz w:val="32"/>
          <w:szCs w:val="32"/>
        </w:rPr>
        <w:t>Иммунокорректоры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Понятие иммунитет произошло от латинского immunis. Его значение еще до нашей эры медики понимали как</w:t>
      </w:r>
      <w:r>
        <w:t xml:space="preserve"> </w:t>
      </w:r>
      <w:r w:rsidRPr="007F6BE3">
        <w:t xml:space="preserve">«находящийся под хорошей защитой, устойчивый к заразной болезни». Защита от инфекций – одно из главных предназначений иммунитета и в нашем понимании.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Иммунитет = распознавание, разрушение и удаление из организма всего «чужеродного».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Чужеродными для организма являются микроорганизмы, ядовитые соединения растительного или животного происхождения, погибшие или переродившиеся клетки самого организма. «Чужое» может проникать извне (бактерии, простейшие, грибы, вирусы, аллергены) или образовываться в самом организме (опухолевые, переродившиеся, погибшие клетки).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В последнее время стали уделять много внимания разработке и изучению специфических средств, стимулирующих или подавляющих (модулирующих) иммунные реакции организма.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Стало очевидным, что положительное действие разных лекарственных веществ можно обьяснить их способностью повышать общую сопротивляемость организма или его неспецифический иммунитет, а также влиять на специфические иммунные реакции.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Повышение общей сопротивляемости организма может наблюдаться, например, под влиянием ряда стимулирующих препаратов (кофеин, элеутерококк и др.), витаминов (ретинол, аскорбиновая кислота, витамины группы В и др.). Способность дибазола стимулировать иммунные процессы была впервые показана Н. В. Лазаревым. Им же было обнаружено стимулирование иммунных процессов производными пиримидина (метилурацил, пентоксил). Метилурацил и пентоксил стимулируют также процессы регенерации, в частности лейкопоэз.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Способностью стимулировать иммунные реакции организма (в том числе лейкопоэз) обладают производные нуклеиновой кислоты, а также биогенные препараты (см. Спленин, Церулоплазмин, Энкад и др.).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К числу средств, способных стимулировать иммунные процесы и специфически активировать иммунокомпетентные клетки (Т- и В-лимфоциты), как и дополнительные факторы иммунитета (макрофаги и др.), относится ряд препаратов микробного и дрожжевого происхождения: продигиозан, пирогенал и др.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Способность этих препаратов повышать общую резистентность организма, ускорять процессы регенерации послужила основанием для их широкого применения в комплексной терапии инфекционных и инфекционно-воспалительных заболеваний, при вяло текущих регенерационных процессах и ряде других заболеваний.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Особенно важным стало в последние годы изучение иммунологических свойств эндогенных соединений, образуемых самим организмом (лимфокинов).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Эти соединения мобилизуют иммунные силы организма на борьбу с патологическими процессами. Одними из наиболее важных эндогенных иммуностимуляторов являются интерфероны (см. Интерферон). Терапевтическую эффективность ряда лекарственных средств (см. Продигиозан, Полудан, Арбидол и др.) обьясняют в определенной мере тем, что они стимулируют образование эндогенного интерферона, т. е. являются K интерфероногенами 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Важнейшую роль в функционировании клеточного и гуморального иммунитета играет вилочковая железа (тимус). В ней происходят дифференциация стволовых клеток в </w:t>
      </w:r>
      <w:r w:rsidRPr="007F6BE3">
        <w:lastRenderedPageBreak/>
        <w:t>лимфоциты, а также секреция специфических веществ (гормонов), оказывающих влияние на развитие и созревание определенных клеток лимфоидной ткани. Из экстрактов вилочковой железы выделен и охарактеризован ряд гормонов, представленных в основном полипептидами (тимозин, гомеостатический тимусный гормон, тимопоэтин I и II, тимусный гуморальный фактор) и соединением стероидной структуры (тимостерин).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Отечественными учеными из вилочковой железы получен ряд экстрактивных препаратов (см. Тималин, Тактивин, Тимоптин, Вилозен), предложенных для применения в качестве иммуностимулирующих средств. В той или иной степени они содержат перечисленные гормональные вещества, в том числе Aa -тимозин, и в значительной мере близки между собой по действию. Из другого органа иммунной системы - костного мозга - получен препарат В-активин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Из синтетических иммуностимуляторов широко известен левамизол. Получены также другие синтетические иммуномодулирующие средства.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Препараты, стимулирующие иммунные процессы, стали находить широкое применение в медицине.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В то же время, важное медицинское значение имеют также иммунодепрессивные (иммуносупрессивные) средства. В определенных условиях иммунные механизмы, играющие важную роль в защите организма от различных вредных воздействий, могут быть причиной нежелательных реакций. Так, отторжение пересаженных тканей и органов связано с иммунологической несовместимостью. При тканевой несовместимости организм вырабатывает к антигенам чужеродной ткани антитела, которые совместно с лимфоидными клетками вызывают ее повреждение и гибель. Имеются также данные, что некоторые заболевания (системная красная волчанка, тромбоцитопеническая пурпура, узелковый периартериит, аутоиммунный гломерулонефрит, неспецифический язвенный колит, ревматизм и др.) могут рассматриваться как аутоиммунные процессы, возникающие в результате высвобождения содержащихся в организме специфических антигенов. В нормальных условиях эти антигены находятся в связанном состоянии и иммунопатологических реакций не вызывают.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В связи с указанными причинами, получило развитие новое направление поиска лекарств, тормозящих иммуногенез, подавляющих продукцию антител.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Поскольку антитела, вырабатываются лимфоцитами и плазматическими клетками, иммунодепрессивное действие могут оказывать различные химические соединения, подавляющие пролиферативные процессы в лимфоидных (иммунокомпетентных) тканях и угнетающие биосинтез нуклеиновых кислот.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 Иммунодепрессивной активностью обладают вещества различных фармакологических групп, в том числе кортикотропин, глюкокортикостероиды и др. Особенно сильной иммунодепрессивной активностью отличаются цитостатические вещества - препараты, применяемые в качестве противоопухолевых средств (циклофосфан, хлорбутин, тиофосфамид, проспидин и др.), к ним же относятся антиметаболиты (6-меркаптопурин, 5-фторурацил и др.), некоторые антибиотики (актиномицин и др.) и другие вещества. Препараты этих групп применяются в настоящее время как иммунодепрессанты. Специальным иммунодепрессивным препаратом является азатиоприн, который по строению и действию близок к цитостатическому препарату (антиметаболиту) 6-меркаптопурину.</w:t>
      </w:r>
    </w:p>
    <w:p w:rsidR="00573911" w:rsidRDefault="00573911" w:rsidP="00573911">
      <w:pPr>
        <w:spacing w:before="120"/>
        <w:ind w:firstLine="567"/>
        <w:jc w:val="both"/>
      </w:pPr>
      <w:r w:rsidRPr="007F6BE3">
        <w:t xml:space="preserve"> Одним из наиболее активных иммуносупрессантов нашедших в последнее время применение для подавления реакции несовместимости при пересадках органов, является K циклоспорин.</w:t>
      </w:r>
    </w:p>
    <w:p w:rsidR="00573911" w:rsidRDefault="00573911" w:rsidP="00573911">
      <w:pPr>
        <w:spacing w:before="120"/>
        <w:ind w:firstLine="567"/>
        <w:jc w:val="both"/>
      </w:pPr>
      <w:r w:rsidRPr="007F6BE3">
        <w:t>Для начала рассмотрим два препарата влияющие на повышение иммунитета: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Полиоксидоний разрешен к применению с 1996г.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lastRenderedPageBreak/>
        <w:t>Иммуномодулирующее средство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ПОЛИОКСИДОНИЙ ® (сополимер N-окиси 1,4 этиленпиперазина и (N-карбоксиэтил)-1,4-этиленпиперазиний бромида). Выпускается в двух лекарственных формах: лиофилизированный порошок во флаконах или ампулах, содержащих 3мг или 6мг</w:t>
      </w:r>
      <w:r>
        <w:t xml:space="preserve"> </w:t>
      </w:r>
      <w:r w:rsidRPr="007F6BE3">
        <w:t>Полиоксидония, для приготовления раствора для инъекций</w:t>
      </w:r>
      <w:r>
        <w:t xml:space="preserve"> </w:t>
      </w:r>
      <w:r w:rsidRPr="007F6BE3">
        <w:t>или интраназального и сублингвального введения</w:t>
      </w:r>
      <w:r>
        <w:t xml:space="preserve"> </w:t>
      </w:r>
      <w:r w:rsidRPr="007F6BE3">
        <w:t>и суппозитории 0.006г и 0.012г.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Фармакологические свойства: Полиоксидоний обладает иммуномодулирующим действием, увеличивает резистентность организма в отношении локальных и генерализованных инфекций. В основе механизма иммуномодулирующего действия Полиоксидония лежит прямое воздействие на фагоцитирующие клетки и естественные киллеры, а также стимуляция антителообразования.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Полиоксидоний восстанавливает иммунные реакции при вторичных иммунодефицитных состояниях, вызванных возбудителями бактериальных, вирусных, грибковых инфекций, вследствие старения, осложнений хирургических операций, травм, ожогов, терапии цитостатиками, стероидными гормонами.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Наряду с иммуномодулирующим действием, Полиоксидоний обладает выраженной детоксикационной и антирадикальной активностью. Препарат снижает цитотоксичность химических, лекарственных веществ и инфекционных агентов.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Применение Полиоксидония в комплексном лечении позволяет повысить эффективность терапии, существенно снизить дозу антибактериальных и противовирусных средств, сократить продолжительность лечения.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Препарат хорошо переносится, не обладает местнораздражающим действием, не оказывает побочных эффектов, не обладает митогенной, поликлональной активностью, антигенными свойствами, не оказывает аллергизирующего, мутагенноного, тератогенного и канцерогенного действия.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Фармакокинетика: Полиоксидоний обладает высокой биодоступностью, быстро распределяется по всем органам и тканям, выводится преимущественно почками.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Показания: Полиоксидоний применяется у взрослых и детей в комплексной терапии иммунодефицитных состояний, проявляющихся в острых и хронических рецидивирующих инфекционно-воспалительных процессах любой этиологии, неподдающихся стандартным методам терапии. Полиоксидоний широко применяется в комплексной терапии в пульмонологии, фтизиатрии, оториноларингологии, урологии, гинекологии,</w:t>
      </w:r>
      <w:r>
        <w:t xml:space="preserve"> </w:t>
      </w:r>
      <w:r w:rsidRPr="007F6BE3">
        <w:t>хирургии и др. Препарат применяется в ревматологии (ревматоидный артрит); в онкологии (в процессе и после химио- и лучевой терапии опухолей, для коррекции иммуносупрессивного влияния опухолей и специфической терапии), снижения нефро - и гепатотоксического действия химиопрепаратов, для активации регенераторных процессов (переломы, ожоги, трофические язвы).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В виде монотерапии Полиоксидоний используется: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для профилактики послеоперационных инфекционных осложнений;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для коррекции вторичных иммунодефицитов, возникающих вследствие старения или воздействия неблагоприятных факторов.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Для профилактики ОРЗ (интраназально).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СПОСОБ ПРИМЕНЕНИЯ И ДОЗЫ.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Полиоксидоний применяется</w:t>
      </w:r>
      <w:r>
        <w:t xml:space="preserve"> </w:t>
      </w:r>
      <w:r w:rsidRPr="007F6BE3">
        <w:t>внутримышечно, внутривенно (капельно), интраназально, сублингвально или в суппозиториях (ректально или интравагинально) в</w:t>
      </w:r>
      <w:r>
        <w:t xml:space="preserve"> </w:t>
      </w:r>
      <w:r w:rsidRPr="007F6BE3">
        <w:t>дозах 6 - 12 мг один раз в сутки</w:t>
      </w:r>
      <w:r>
        <w:t xml:space="preserve"> </w:t>
      </w:r>
      <w:r w:rsidRPr="007F6BE3">
        <w:t xml:space="preserve">ежедневно, через день, 2 раза или 1 раз в неделю общим курсом от 5 до 20 </w:t>
      </w:r>
      <w:r w:rsidRPr="007F6BE3">
        <w:lastRenderedPageBreak/>
        <w:t>инъекций или ректальных суппозиториев в зависимости от диагноза</w:t>
      </w:r>
      <w:r>
        <w:t xml:space="preserve"> </w:t>
      </w:r>
      <w:r w:rsidRPr="007F6BE3">
        <w:t xml:space="preserve">и тяжести основного заболевания. Способ назначения и доза выбирается в зависимости от массы тела, остроты и тяжести процесса.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Детям Полиоксидоний назначается в дозе 0,1-0,15 мг/кг.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При необходимости курс лечения</w:t>
      </w:r>
      <w:r>
        <w:t xml:space="preserve"> </w:t>
      </w:r>
      <w:r w:rsidRPr="007F6BE3">
        <w:t>повторяют через 3-4 месяца.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Для профилактики иммунодепрессивного влияния опухоли, для коррекции иммунодефицита после химио- и радиационной терапии показано длительное применение Полиоксидония (от 2-3 месяцев до года) по 6-12 мг один - два раза в неделю.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Интравагинально Полиоксидоний применяют совместно со стандартной терапией при хроническом сальпингоофорите, эндометрите, кольпите, заболеваниях, вызванных вирусом папилломы человека, эктопии, дисплазии и лейкоплакии шейки матки по 1 суппозиторию (12 мг) ежедневно в течение 3 дней, а затем через день. Курс лечения - 10 суппозиториев.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Интраназально Полиоксидоний назначается в комплексной и монотерапии острых и хронических вирусных, бактериальных и грибковых инфекцияй ЛОР-органов (синуситы, риниты, аденоидиты, гипертрофия глоточной миндалины, ОРВИ).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Противопоказания: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Индивидуальная непереносимость. Беременность, период лактации (клинический опыт применения отсутствует).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Меры предосторожности: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С осторожностью применяют при острой почечной недостаточности.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Побочное действие: Не описано.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Форма выпуска: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1.По 5 флаконов или ампул по 3 или 6 мг в пачке с инструкцией по применению.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2.Суппозитории, содержащие 6мг или 12мг Полиоксидония по 5 штук в ячейковой упаковке. По 2 ячейковые упаковки в пачке с инструкцией по применению.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Условия хранения: В сухом защищенном от света прохладном месте при температуре от 4 до 15 °С. </w:t>
      </w:r>
    </w:p>
    <w:p w:rsidR="00573911" w:rsidRDefault="00573911" w:rsidP="00573911">
      <w:pPr>
        <w:spacing w:before="120"/>
        <w:ind w:firstLine="567"/>
        <w:jc w:val="both"/>
      </w:pPr>
      <w:r w:rsidRPr="007F6BE3">
        <w:t>Срок годности – 2 года.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ГАЛАВИТ ®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Галавит - новый иммуномодулирующий и противовоспалительный препарат. Применяется при вторичных иммунодефицитных состояниях, для иммунокоррекции и иммунореабилитации, в т.ч. при онкологических заболеваниях, для профилактики гнойно-воспалительных осложнений у хирургических больных. Применяется в комплексном лечении ряда заболеваний: рецидивирующий фурункулез и герпетическая инфекция, септические состояния, остеомиелит, рожа, менингит, кишечные инфекции, гепатит, уретрит, простатит, пиелонефрит, сальпингит, аднексит, вагинит, бронхит, пневмония, хламидиоз, уреаплазмоз, цитомегаловирусная инфекция и др.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поможет значительно повысить эффективность лечения, снизить вероятность развития осложнений;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не обладает аллергенными свойствами, не токсичен, не влияет на нормально функционирующие клетки человека;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надежная база клинического успеха для врачей разных специальностей.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Латинское название: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lastRenderedPageBreak/>
        <w:t xml:space="preserve">ГАЛАВИТ / GALAVIT / GALAVITUM.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Состав и форма выпуска: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Галавит порошок для приготовления инъекционного раствора во флаконах по 10 мл по 1 или 5 шт. в упаковке.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1 флакон Галавит содержит: 100 мг 5-амино-1,2,3,4-тетрагидрофталазин-1,4-диона натриевой соли.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Галавит свечи ректальные по 10 шт. в упаковке.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1 свеча Галавит содержит: 100 мг 5-амино-1,2,3,4-тетрагидрофталазин-1,4-диона натриевой соли.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Фармакологические свойства: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Галавит - иммуномодулятор с противовоспалительными свойствами.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Основные фармакологические эффекты Галавита обусловлены способностью воздействовать на функционально-метаболическую активность макрофагов.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При воспалительных заболеваниях Галавит обратимо на 6-8 часов ингибирует гиперактивность макрофагов, избыточную продукцию фактора некроза опухолей, интерлейкина-1, активных форм кислорода и других провоспалительных цитокинов, определяющих степень воспалительных реакций, их цикличность, а также выраженность интоксикации.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Нормализация функционального состояния макрофагов приводит к восстановлению антиген-представляющей и регулирующей функции; снижению уровня аутоагрессии, восстановлению функции Т-лимфоцитов.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Помимо воздействия на моноцитарно-макрофагальное звено, Галавит стимулирует микробицидную активность нейтрофильных гранулоцитов, усиливая фагоцитоз и повышая неспецифическую резистентность организма к инфекционным заболеваниям, а также противомикробную защиту.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При различных сосудистых нарушениях Галавит усиливает продуцирующую функцию макрофагов, что приводит к усилению образования окислов азота (NO, NO2, NO3), активации цГМФ-синтетазы в тканях, что способствует физиологической дилятации сосудов.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Кроме того, Галавит способствует высвобождению активатора плазминогена эндотелиоцитами, предотвращая тромбообразование. Все это способствует улучшению микроциркуляции, предотвращает развитие гипоксии.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Сравнительный анализ Галавита и уже известного нам иммуномодулятора Полиоксидония позволяет более четко выделить особенности фармакологических эффектов Галавита.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38"/>
        <w:gridCol w:w="5116"/>
      </w:tblGrid>
      <w:tr w:rsidR="00573911" w:rsidRPr="007F6BE3" w:rsidTr="00B56424">
        <w:trPr>
          <w:trHeight w:val="332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Галавит</w:t>
            </w:r>
            <w:r>
              <w:t xml:space="preserve"> 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Полиоксидоний</w:t>
            </w:r>
          </w:p>
        </w:tc>
      </w:tr>
      <w:tr w:rsidR="00573911" w:rsidRPr="007F6BE3" w:rsidTr="00B56424">
        <w:trPr>
          <w:trHeight w:val="641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Прямое действие на макрофаги и Т-лимфоциты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 w:rsidRPr="007F6BE3">
              <w:t>Прямое действие на макрофаги, опосредованное действие на Т-лимфоциты</w:t>
            </w:r>
          </w:p>
        </w:tc>
      </w:tr>
      <w:tr w:rsidR="00573911" w:rsidRPr="007F6BE3" w:rsidTr="00B56424">
        <w:trPr>
          <w:trHeight w:val="308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Обладает антиоксидантными свойствами</w:t>
            </w:r>
            <w:r>
              <w:t xml:space="preserve"> 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 w:rsidRPr="007F6BE3">
              <w:t>Обладает антиоксидантными свойствами</w:t>
            </w:r>
          </w:p>
        </w:tc>
      </w:tr>
      <w:tr w:rsidR="00573911" w:rsidRPr="007F6BE3" w:rsidTr="00B56424">
        <w:trPr>
          <w:trHeight w:val="973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Противовоспалительное действие за счет влияния на систему цитокинов - сильно выражено</w:t>
            </w:r>
            <w:r>
              <w:t xml:space="preserve"> 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 w:rsidRPr="007F6BE3">
              <w:t>Противовоспалительное действие за счет</w:t>
            </w:r>
            <w:r>
              <w:t xml:space="preserve"> </w:t>
            </w:r>
            <w:r w:rsidRPr="007F6BE3">
              <w:t>прямого влияния на систему комплимента - слабо выражено</w:t>
            </w:r>
          </w:p>
        </w:tc>
      </w:tr>
      <w:tr w:rsidR="00573911" w:rsidRPr="007F6BE3" w:rsidTr="00B56424">
        <w:trPr>
          <w:trHeight w:val="641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 w:rsidRPr="007F6BE3">
              <w:t>Не обладает детоксицирующим действием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 w:rsidRPr="007F6BE3">
              <w:t xml:space="preserve">Выраженное детоксицирующее действие за счет сорбционных </w:t>
            </w:r>
            <w:r w:rsidRPr="007F6BE3">
              <w:lastRenderedPageBreak/>
              <w:t>свойств</w:t>
            </w:r>
          </w:p>
        </w:tc>
      </w:tr>
      <w:tr w:rsidR="00573911" w:rsidRPr="007F6BE3" w:rsidTr="00B56424">
        <w:trPr>
          <w:trHeight w:val="641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 w:rsidRPr="007F6BE3">
              <w:lastRenderedPageBreak/>
              <w:t>Дефиброзирующее действие - слабо выражено</w:t>
            </w:r>
            <w:r>
              <w:t xml:space="preserve"> 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 w:rsidRPr="007F6BE3">
              <w:t>Дефиброзирующее действие - сильно выражено</w:t>
            </w:r>
          </w:p>
        </w:tc>
      </w:tr>
      <w:tr w:rsidR="00573911" w:rsidRPr="007F6BE3" w:rsidTr="00B56424">
        <w:trPr>
          <w:trHeight w:val="308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 w:rsidRPr="007F6BE3">
              <w:t>Нормализует качество (авидность) антител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 w:rsidRPr="007F6BE3">
              <w:t>Нормализует количество антител</w:t>
            </w:r>
          </w:p>
        </w:tc>
      </w:tr>
      <w:tr w:rsidR="00573911" w:rsidRPr="007F6BE3" w:rsidTr="00B56424">
        <w:trPr>
          <w:trHeight w:val="973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 w:rsidRPr="007F6BE3">
              <w:t>Оказывает прямое действие на ЦНС - нормализация психоэмоциональной сферы</w:t>
            </w:r>
            <w:r>
              <w:t xml:space="preserve"> 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Косвенно улучшает память за счет детоксикационного действия</w:t>
            </w:r>
          </w:p>
        </w:tc>
      </w:tr>
      <w:tr w:rsidR="00573911" w:rsidRPr="007F6BE3" w:rsidTr="00B56424">
        <w:trPr>
          <w:trHeight w:val="332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 w:rsidRPr="007F6BE3">
              <w:t>Имеется антидиарейный эффект</w:t>
            </w:r>
            <w:r>
              <w:t xml:space="preserve"> 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Нет данного эффекта</w:t>
            </w:r>
          </w:p>
        </w:tc>
      </w:tr>
      <w:tr w:rsidR="00573911" w:rsidRPr="007F6BE3" w:rsidTr="00B56424">
        <w:trPr>
          <w:trHeight w:val="641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 w:rsidRPr="007F6BE3">
              <w:t xml:space="preserve">Улучшает репарацию тканей: заживление без грубых рубцовых дефектов 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Нет данных</w:t>
            </w:r>
          </w:p>
        </w:tc>
      </w:tr>
      <w:tr w:rsidR="00573911" w:rsidRPr="007F6BE3" w:rsidTr="00B56424">
        <w:trPr>
          <w:trHeight w:val="641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 w:rsidRPr="007F6BE3">
              <w:t>Обладет противоязвенным действием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Нет данных</w:t>
            </w:r>
          </w:p>
        </w:tc>
      </w:tr>
      <w:tr w:rsidR="00573911" w:rsidRPr="007F6BE3" w:rsidTr="00B56424">
        <w:trPr>
          <w:trHeight w:val="332"/>
        </w:trPr>
        <w:tc>
          <w:tcPr>
            <w:tcW w:w="2404" w:type="pct"/>
          </w:tcPr>
          <w:p w:rsidR="00573911" w:rsidRPr="007F6BE3" w:rsidRDefault="00573911" w:rsidP="00B56424">
            <w:pPr>
              <w:ind w:left="949"/>
            </w:pPr>
            <w:r w:rsidRPr="007F6BE3">
              <w:t>Уменьшает агрегацию тромбоцитов - уменьшает тромбообразование</w:t>
            </w:r>
          </w:p>
        </w:tc>
        <w:tc>
          <w:tcPr>
            <w:tcW w:w="2596" w:type="pct"/>
          </w:tcPr>
          <w:p w:rsidR="00573911" w:rsidRPr="007F6BE3" w:rsidRDefault="00573911" w:rsidP="00B56424">
            <w:pPr>
              <w:ind w:left="949"/>
            </w:pPr>
            <w:r>
              <w:t xml:space="preserve"> </w:t>
            </w:r>
            <w:r w:rsidRPr="007F6BE3">
              <w:t>Нет данных</w:t>
            </w:r>
          </w:p>
        </w:tc>
      </w:tr>
    </w:tbl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Галавит не обладает токсическими свойствами, совместим со всеми препаратами, что позволяет применять во всех возрастных группах.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Фармакокинетика: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После внутримышечной инъекции Галавита период полуэлиминации составляет 15-30 минут. Основные фармакологические эффекты наблюдаются в течении б - 8 часов. Галавит выводится из организма в основном через почки.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Показания: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Галавит применяется в качестве иммуномодулятора для профилактики и патогенетического лечения следующих заболеваний: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вторичная иммунная недостаточность; иммунодефицитные состояния;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хронический рецидивирующий фурункулез;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хроническая рецидивирующая герпетическая инфекция;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коррекция иммунитета у онкологических больных в до- и послеоперационном периоде, получающих лучевую и химиотерапию;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профилактика послеоперационных гнойно-воспалительных осложнений у хирургических больных;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инфекционные заболевания (различной этиологии септические состояния, гепатиты, рожа, гнойные менингиты);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посттравматический остеомиелит;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кишечные инфекции, сопровождающиеся интоксикацией и/или диарейным синдромом (сальмонеллез, дизентерия, пищевая токсикоинфекция);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воспалительные заболевания желудочно-кишечного тракта (язвенная болезнь желудка и двенадцатиперстной кишки, неспецифический язвенный колит, болезнь Крона и т.д.);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воспалительные заболевания урогенитальной сферы (уретрит, простатит, пиелит, пиелонефрит и др.);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воспалительные заболевания мочеполовой сферы (сальпингит, вагинит и др.);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lastRenderedPageBreak/>
        <w:t xml:space="preserve">бронхолегочные заболевания (бронхиальная астма, бронхиты, в том числе с обструктивным компонентом, пневмонии);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хронические воспалительные заболевания (в том числе с аллергическим и аутоиммунным компонентами в патогенезе - поражения печени различной этиологии, склеродермия, ревматоидный артрит, эндометрит, аднексит и др);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различные сосудистые нарушения (диабетическая ангиопатия, эндартерииты и связанные с ними осложнения, ишемические ангиопатии различных органов);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сниженние половой функции в основе которой лежит нарушение микроциркуляции.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Способ применения и дозы: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Галавит назначают взрослым в/м и ректально.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Режим дозирования и продолжительность терапии Галавитом устанавливают индивидуально.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Внутримышечно.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Перед введением Галавита содержимое флакона разводят в 2-3 мл воды для инъекций или 0,9% раствора натрия хлорида с соблюдением правил асептики.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В остром периоде заболевания начальная разовая доза Галавита составляет 200 мг. Затем Галавит вводят в дозе 100 мг 1-2 раза/сут.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Острые кишечные инфекции: начальная доза Галавита - 200 мг, затем - по 100 мг 2-3 раза в сутки до исчезновения симптомов интоксикации и/или диареи. Курс лечения - 10 дней.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Инфекционные заболевания различной этиологии: начальная доза Галавита - 200 мг, затем - по 100 мг 2-3 раза в сутки (до купирования симптомов интоксикации и воспаления), далее возможно продолжение курса по 100 мг 1 раз в 2-3 дня до 25 инъекций.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При хронических заболеваниях: 100 мг 1 раз в 3 дня курсом до 20 инъекций.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Комплексная терапия хронической рецидивирующей герпетической инфекции: по 100 мг/сут однократно, в течение 20 дней.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Комплексная терапия послеоперационных гнойно-воспалительных осложнений: по 100 мг через день, 5-10 инъекций, затем 1 раз в 3 дня (до 20 инъекций).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Иммунокоррекция при онкологических заболеваниях (в комплексе с химио- и лучевой терапией): начальная доза Галавита - 100 мг через день (5 инъекций), затем 1 раз в 3 дня (до 20 инъекций).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Ректально.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Суппозиторий освобождают от контурной упаковки и затем вводят в прямую кишку. Предварительно рекомендуется освободить кишечник.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Хронический рецидивирующий фурункулез: в первые 5 дней - по 100 мг 1 раз в день ежедневно, затем - по 100 мг через день. Курс до 20 суппозиториев.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Хроническая рецидивирующая герпетическая инфекция: в первые 10 дней - по 100 мг 1 раз в день, затем - по 100 мг через день. Курс до 25 суппозиториев.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Воспалительные заболевания мочеполовой системы: в остром периоде в первые 2 дня Галавит назначают по 100 мг 2 раза в день, затем - по 100 мг через 72 ч. Курс - 15–20 суппозиториев. При хроническом течении Галавит назначают по 0,1 г с интервалом 72 ч. Курс до 20 суппозиториев.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Хронические воспалительные заболевания ЖКТ: по 100 мг через 72 ч. Курс до 20 суппозиториев.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lastRenderedPageBreak/>
        <w:t xml:space="preserve">Профилактика хирургических осложнений в до- и послеоперационном периоде: по 100 мг через день - 5–10 суппозиториев Галавита, затем - по 100 мг с интервалом 72 ч. Курс до 20 суппозиториев.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Иммунокоррекция при онкологических заболеваниях в комплексе с химио- и лучевой терапией: начальная доза Галавита - 100 мг через день - 5 суппозиториев, затем - по 100 мг через 72 ч. Курс - 20–30 суппозиториев.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Передозировка: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Токсических и терратогенных эффектов у Галавита не выявлено. До настоящего времени о случаях передозировки препарата Галавит не сообщалось.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Противопоказания: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гиперчувствительность к компонентам препарата Галавит;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беременность, период грудного вскармливания.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Применение при беременности и кормлении грудью: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Галавит противопоказан при беременности и в период лактации.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Побочные явления: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При применении Галавита по показаниям в рекомендуемых дозах побочные действия не выявлены.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Возможны аллергические реакции.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Лекарственное взаимодействие: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Несовместимости Галавита с другими группами лекарственных препаратов не выявлено.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Применение Галавита позволяет снижать дозировки нестероидных противовоспалительных препаратов и стероидных гормонов и других препаратов.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Условия хранения: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Хранить в прохладном, защищенном от света месте. 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 xml:space="preserve">Срок годности: 2 года. </w:t>
      </w:r>
    </w:p>
    <w:p w:rsidR="00573911" w:rsidRDefault="00573911" w:rsidP="00573911">
      <w:pPr>
        <w:spacing w:before="120"/>
        <w:ind w:firstLine="567"/>
        <w:jc w:val="both"/>
      </w:pPr>
      <w:r w:rsidRPr="007F6BE3">
        <w:t>Условия отпуска из аптек - отпускается по рецепту.</w:t>
      </w:r>
    </w:p>
    <w:p w:rsidR="00573911" w:rsidRPr="007F6BE3" w:rsidRDefault="00573911" w:rsidP="00573911">
      <w:pPr>
        <w:spacing w:before="120"/>
        <w:ind w:firstLine="567"/>
        <w:jc w:val="both"/>
      </w:pPr>
      <w:r w:rsidRPr="007F6BE3">
        <w:t>В то же время, важное медицинское значение имеют также иммунодепрессивные (иммуносупрессивные) средства. В определенных условиях иммунные механизмы, играющие важную роль в защите организма от различных вредных воздействий, могут быть причиной нежелательных реакций. Так, отторжение пересаженных тканей и органов связано с иммунологической несовместимостью. При тканевой несовместимости организм вырабатывает к антигенам чужеродной ткани антитела, которые совместно с лимфоидными клетками вызывают ее повреждение и гибель. Имеются также данные, что некоторые заболевания (системная красная волчанка, тромбоцитопеническая пурпура, узелковый периартериит, аутоиммунный гломерулонефрит, неспецифический язвенный колит, ревматизм и др.) могут рассматриваться как аутоиммунные процессы, возникающие в результате высвобождения содержащихся в организме специфических антигенов. В нормальных условиях эти антигены находятся в связанном состоянии и иммунопатологических реакций не вызывают.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В связи с указанными причинами, получило развитие новое направление поиска лекарств, тормозящих иммуногенез, подавляющих продукцию антител.</w:t>
      </w:r>
    </w:p>
    <w:p w:rsidR="00573911" w:rsidRDefault="00573911" w:rsidP="00573911">
      <w:pPr>
        <w:spacing w:before="120"/>
        <w:ind w:firstLine="567"/>
        <w:jc w:val="both"/>
      </w:pPr>
      <w:r>
        <w:lastRenderedPageBreak/>
        <w:t xml:space="preserve"> </w:t>
      </w:r>
      <w:r w:rsidRPr="007F6BE3">
        <w:t xml:space="preserve">Специальным иммунодепрессивным препаратом является азатиоприн, который по строению и действию близок к цитостатическому препарату (антиметаболиту) 6-меркаптопурину. 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АЗАТИОПРИН (Azathioprinum). 6-(1-Метил-4-нитроимидазолил-5)-меркаптопурин.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Синонимы: Имуран, Аzamun, Аzanin, Аzapress, Imunal, Imuran, Imurel, Тhioрrinе и др.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Светло-желтый с зеленоватым оттенком кристаллический порошок. Практически нерастворим в воде и спирте, легко растворим в растворах едких щелочей.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По химическому строению и биологическому действию близок к меркаптопурину. Обладает цитостатической активностью и оказывает иммунодепрессивный эффект, однако по сравнению с меркаптопурином иммунодепрессивное действие выражено относительно сильнее при несколько меньшей цитостатической активности. В больших дозах (10 мг/кг) препарат угнетает функцию костного мозга, подавляет пролиферацию гранулоцитов, вызывает лейкопению.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Применяют азатиоприн для подавления реакции тканевой несовместимости при пересадке органов, а также при некоторых аутоиммунных заболеваниях: неспецифическом ревматоидном полиартрите, неспецифическом язвенном колите, красной волчанке, волчаночном нефрите, хроническом гепатите и др.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Назначают препарат внутрь (в виде таблеток) самостоятельно, а часто и в сочетании с другими средствами (преднизолон, антибиотики, антилейкоцитарная сыворотка).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При гомотрансплантации органов назначают до операции (за 1 -7 дней) ежедневно в дозе 0,004 г/кг (4 мг/кг). Суточную дозу дают в 2 -3 приема. После операции препарат назначают в той же дозе в течение 1 - 2 мес, затем по 2 - 3 мг/кг. В случае возникновения симптомов отторжения пересаженного органа, дозу вновь повышают до 4 мг/кг в день. Применяют препарат длительно. Величина дозы и продолжительность лечения зависят от общего состониия больного, переносимости препарата, результатов гематологических исследований.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При аутоиммунных заболеваниях обычно назначают по 1, 5 - 2, 0 мг/кг в сутки, однако, в случае необходимости дают до 200 - 250 мг в сутки (в 2 - 4 приема). Длительность курса лечения зависит от тяжести заболевания, эффективности и переносимости препарата. Для достижения стойкого эффекта лечение должно проводиться длительно.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Имеются данные о применении азатиоприна при лечении псориаза (обычно по 0,05 г 3 раза в день в течение 14 - 48 дней).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Лечение азатиоприном должно проводиться под тщательным врачебным наблюдением. Необходимо следить за картиной крови.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В первые 8 нед лечения следует еженедельно проводить полный анализ крови с подсчетом тромбоцитов.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При уменьшении количества лейкоцитов до 4*10 9 /л дозу уменьшают, а при 3*10 9 /л препарат отменяют и назначают повторные переливания крови, стимуляторы лейкопоэза и др.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Препарат может вызывать тошноту, рвоту, потерю аппетита. При длительном применении может развиться токсический гепатит; возможны аллергические реакции.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Препарат противопоказан при выраженном угнетении гемопоэза и лейкопении, тяжелых заболеваниях печени; беременности.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 xml:space="preserve">Следует иметь в виду, что иммунодепрессивные препараты могут быть весьма эффективны при применении с целью преодоления тканевой несовместимости и лечения аутоиммунных заболеваний. Однако, существующие в настоящее время препараты не </w:t>
      </w:r>
      <w:r w:rsidRPr="007F6BE3">
        <w:lastRenderedPageBreak/>
        <w:t>обладают достаточной избирательностью действия, и их применение может сопровождаться выраженными побочными явлениями. Они могут оказывать угнетающее влияие на кроветворение и вызывать лейкопению, тромбоцитопению, анемию, панцитопению; возможны активация вторичной инфекции, развитие септицемии. Имеются указания, что при длительном применении иммунодепрессанты могут способствовать развитию злокачественных новообразований. Возможны также подавление продукции интерферона, понижение общих защитных функций организма.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Иммунодепрессанты (цитостатики, в том числе азатиоприн и др.) должны применяться по строгим показаниям с соблюдением необходимых мер предосторожности.</w:t>
      </w:r>
    </w:p>
    <w:p w:rsidR="00573911" w:rsidRPr="007F6BE3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Форма выпуска: таблетки по 0,05 г (50 мг) по 50 или 100 штук во флаконах оранжевого стекла.</w:t>
      </w:r>
    </w:p>
    <w:p w:rsidR="00573911" w:rsidRDefault="00573911" w:rsidP="00573911">
      <w:pPr>
        <w:spacing w:before="120"/>
        <w:ind w:firstLine="567"/>
        <w:jc w:val="both"/>
      </w:pPr>
      <w:r>
        <w:t xml:space="preserve"> </w:t>
      </w:r>
      <w:r w:rsidRPr="007F6BE3">
        <w:t>Хранение: список А. В защищенном от света месте.</w:t>
      </w:r>
    </w:p>
    <w:p w:rsidR="00573911" w:rsidRPr="00573911" w:rsidRDefault="00573911" w:rsidP="00573911">
      <w:pPr>
        <w:spacing w:before="120"/>
        <w:jc w:val="center"/>
        <w:rPr>
          <w:b/>
          <w:bCs/>
          <w:sz w:val="28"/>
          <w:szCs w:val="28"/>
        </w:rPr>
      </w:pPr>
      <w:r w:rsidRPr="00573911">
        <w:rPr>
          <w:b/>
          <w:bCs/>
          <w:sz w:val="28"/>
          <w:szCs w:val="28"/>
        </w:rPr>
        <w:t>Список литературы</w:t>
      </w:r>
    </w:p>
    <w:p w:rsidR="00573911" w:rsidRDefault="00573911" w:rsidP="00573911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E25029">
          <w:rPr>
            <w:rStyle w:val="a3"/>
          </w:rPr>
          <w:t>http://referat.ru</w:t>
        </w:r>
      </w:hyperlink>
    </w:p>
    <w:p w:rsidR="00573911" w:rsidRPr="00573911" w:rsidRDefault="00573911" w:rsidP="00573911">
      <w:pPr>
        <w:spacing w:before="120"/>
        <w:ind w:firstLine="567"/>
        <w:jc w:val="both"/>
      </w:pPr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11"/>
    <w:rsid w:val="00051FB8"/>
    <w:rsid w:val="00095BA6"/>
    <w:rsid w:val="00210DB3"/>
    <w:rsid w:val="0031418A"/>
    <w:rsid w:val="00350B15"/>
    <w:rsid w:val="00377A3D"/>
    <w:rsid w:val="00573911"/>
    <w:rsid w:val="005A2562"/>
    <w:rsid w:val="00624223"/>
    <w:rsid w:val="00755964"/>
    <w:rsid w:val="007F6BE3"/>
    <w:rsid w:val="008C19D7"/>
    <w:rsid w:val="00A44D32"/>
    <w:rsid w:val="00B56424"/>
    <w:rsid w:val="00C9190E"/>
    <w:rsid w:val="00E12572"/>
    <w:rsid w:val="00E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99"/>
    <w:semiHidden/>
    <w:rsid w:val="00573911"/>
    <w:pPr>
      <w:spacing w:line="360" w:lineRule="auto"/>
      <w:ind w:left="240" w:firstLine="709"/>
      <w:jc w:val="both"/>
    </w:pPr>
    <w:rPr>
      <w:sz w:val="28"/>
      <w:szCs w:val="28"/>
    </w:rPr>
  </w:style>
  <w:style w:type="character" w:styleId="a3">
    <w:name w:val="Hyperlink"/>
    <w:basedOn w:val="a0"/>
    <w:uiPriority w:val="99"/>
    <w:rsid w:val="005739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99"/>
    <w:semiHidden/>
    <w:rsid w:val="00573911"/>
    <w:pPr>
      <w:spacing w:line="360" w:lineRule="auto"/>
      <w:ind w:left="240" w:firstLine="709"/>
      <w:jc w:val="both"/>
    </w:pPr>
    <w:rPr>
      <w:sz w:val="28"/>
      <w:szCs w:val="28"/>
    </w:rPr>
  </w:style>
  <w:style w:type="character" w:styleId="a3">
    <w:name w:val="Hyperlink"/>
    <w:basedOn w:val="a0"/>
    <w:uiPriority w:val="99"/>
    <w:rsid w:val="00573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fer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3892</Words>
  <Characters>22191</Characters>
  <Application>Microsoft Office Word</Application>
  <DocSecurity>0</DocSecurity>
  <Lines>184</Lines>
  <Paragraphs>52</Paragraphs>
  <ScaleCrop>false</ScaleCrop>
  <Company>Home</Company>
  <LinksUpToDate>false</LinksUpToDate>
  <CharactersWithSpaces>26031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Иммунокорректоры</dc:title>
  <dc:creator>Alena</dc:creator>
  <cp:lastModifiedBy>Igor</cp:lastModifiedBy>
  <cp:revision>2</cp:revision>
  <dcterms:created xsi:type="dcterms:W3CDTF">2024-10-08T08:35:00Z</dcterms:created>
  <dcterms:modified xsi:type="dcterms:W3CDTF">2024-10-08T08:35:00Z</dcterms:modified>
</cp:coreProperties>
</file>