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3" type="tile"/>
    </v:background>
  </w:background>
  <w:body>
    <w:p w:rsidR="00000000" w:rsidRDefault="00BD6C99">
      <w:pPr>
        <w:pStyle w:val="a6"/>
        <w:ind w:firstLine="567"/>
        <w:jc w:val="center"/>
        <w:rPr>
          <w:b/>
          <w:bCs/>
          <w:u w:val="single"/>
        </w:rPr>
      </w:pPr>
      <w:bookmarkStart w:id="0" w:name="_GoBack"/>
      <w:bookmarkEnd w:id="0"/>
      <w:r>
        <w:rPr>
          <w:b/>
          <w:bCs/>
        </w:rPr>
        <w:t>ИММУНОЛОГИЧЕСКАЯ НЕСОВМЕСТИМОСТЬ МЕЖДУ МАТЕРЬЮ И ПЛОДОМ (на примере Rh-сенсибилизации и Rh-конфликта)</w:t>
      </w:r>
    </w:p>
    <w:p w:rsidR="00000000" w:rsidRDefault="00BD6C99">
      <w:pPr>
        <w:pStyle w:val="a6"/>
        <w:ind w:firstLine="567"/>
        <w:jc w:val="both"/>
      </w:pPr>
      <w:r>
        <w:rPr>
          <w:b/>
          <w:bCs/>
          <w:u w:val="single"/>
        </w:rPr>
        <w:t>Цель занятия:</w:t>
      </w:r>
      <w:r>
        <w:t xml:space="preserve"> ознакомить студентов с </w:t>
      </w:r>
      <w:r>
        <w:t>современными методами ведения беременности, осложненной несовместимостью крови матери и плода по эритроцитарным антигенам на примере несовместимости по Rh-фактору, а также методы профилактики Rh-сенсибилизации при беременности Rh(+) плодом.</w:t>
      </w:r>
    </w:p>
    <w:p w:rsidR="00000000" w:rsidRDefault="00BD6C99">
      <w:pPr>
        <w:pStyle w:val="a6"/>
        <w:ind w:firstLine="567"/>
        <w:jc w:val="both"/>
      </w:pPr>
      <w:r>
        <w:rPr>
          <w:b/>
          <w:bCs/>
          <w:u w:val="single"/>
        </w:rPr>
        <w:t xml:space="preserve">Студент должен </w:t>
      </w:r>
      <w:r>
        <w:rPr>
          <w:b/>
          <w:bCs/>
          <w:u w:val="single"/>
        </w:rPr>
        <w:t>знать:</w:t>
      </w:r>
      <w:r>
        <w:t xml:space="preserve"> учение о группах крови, обезвреживающую функцию печени, вопросы эпидемиологии по данной проблеме, этиологию изоиммунизации, этиопатогенез гемолитической болезни плода и новорожденного (ГБП и ГБН), вопросы антенатальной и постнатальной диагностики, р</w:t>
      </w:r>
      <w:r>
        <w:t>азличные методы лечения плода и новорожденного, показания к проведению антенатальной и постнатальной профилактики изоиммунизации к Rh-фактору.</w:t>
      </w:r>
    </w:p>
    <w:p w:rsidR="00000000" w:rsidRDefault="00BD6C99">
      <w:pPr>
        <w:pStyle w:val="a6"/>
        <w:ind w:firstLine="567"/>
        <w:jc w:val="both"/>
      </w:pPr>
      <w:r>
        <w:rPr>
          <w:b/>
          <w:bCs/>
          <w:u w:val="single"/>
        </w:rPr>
        <w:t>Студент должен уметь:</w:t>
      </w:r>
      <w:r>
        <w:t xml:space="preserve"> собрать анамнез, касающийся изоиммунизации, оценить данные исследований (УЗИ, кардиомонитор</w:t>
      </w:r>
      <w:r>
        <w:t>инг, цифры билирубина, Нb и Ht новорожденного), выбрать оптимальный срок и метод родоразрешения при различной выраженности ГБП, время амниоцентеза по данным титра антител в крови у матери и /или по данным анамнеза, определить необходимый объем вводимого ан</w:t>
      </w:r>
      <w:r>
        <w:t>ти D Rh, глобулина в зависимости от сроков прерывания беременности и от результатов пробы Клейхауэра-Бетке.</w:t>
      </w:r>
    </w:p>
    <w:p w:rsidR="00000000" w:rsidRDefault="00BD6C99">
      <w:pPr>
        <w:pStyle w:val="a6"/>
        <w:ind w:firstLine="567"/>
        <w:jc w:val="center"/>
        <w:outlineLvl w:val="0"/>
        <w:rPr>
          <w:b/>
          <w:bCs/>
          <w:color w:val="000080"/>
        </w:rPr>
      </w:pPr>
      <w:r>
        <w:rPr>
          <w:b/>
          <w:bCs/>
          <w:color w:val="000080"/>
        </w:rPr>
        <w:t>Содержание занятия</w:t>
      </w:r>
    </w:p>
    <w:p w:rsidR="00000000" w:rsidRDefault="00BD6C99">
      <w:pPr>
        <w:pStyle w:val="a6"/>
        <w:ind w:firstLine="567"/>
        <w:jc w:val="both"/>
      </w:pPr>
      <w:r>
        <w:rPr>
          <w:i/>
          <w:iCs/>
        </w:rPr>
        <w:t xml:space="preserve">Изоиммунизацией </w:t>
      </w:r>
      <w:r>
        <w:t>называют образование у матери антител (АТ) в ответ на попадание в ее кровяное русло плодовых эритроцитарных антиг</w:t>
      </w:r>
      <w:r>
        <w:t>енов (АГ), наследуемых плодом от отца, или чужеродных АГ при гемотрансфузии. Степень иммунизации зависит от силы АГ и количества образовавшихся АТ.</w:t>
      </w:r>
    </w:p>
    <w:p w:rsidR="00000000" w:rsidRDefault="00BD6C99">
      <w:pPr>
        <w:pStyle w:val="a6"/>
        <w:ind w:firstLine="567"/>
        <w:jc w:val="both"/>
      </w:pPr>
      <w:r>
        <w:rPr>
          <w:b/>
          <w:bCs/>
        </w:rPr>
        <w:t>Гемолитическая болезнь плода</w:t>
      </w:r>
      <w:r>
        <w:t xml:space="preserve"> </w:t>
      </w:r>
      <w:r>
        <w:rPr>
          <w:b/>
          <w:bCs/>
        </w:rPr>
        <w:t>(ГБП)</w:t>
      </w:r>
      <w:r>
        <w:t xml:space="preserve"> состояние плода, вызванное гемолизом эритроцитов, характеризующееся анеми</w:t>
      </w:r>
      <w:r>
        <w:t>ей, желтухой и увеличением числа бластных форм эритроцитов в кровяном русле. Водянка плода - крайняя степень ГБП.</w:t>
      </w:r>
    </w:p>
    <w:p w:rsidR="00000000" w:rsidRDefault="00BD6C99">
      <w:pPr>
        <w:pStyle w:val="a6"/>
        <w:ind w:firstLine="567"/>
        <w:jc w:val="center"/>
        <w:outlineLvl w:val="0"/>
      </w:pPr>
      <w:r>
        <w:t>ПАТОФИЗИОЛОГИЯ</w:t>
      </w:r>
    </w:p>
    <w:p w:rsidR="00000000" w:rsidRDefault="00BD6C99">
      <w:pPr>
        <w:pStyle w:val="a6"/>
        <w:ind w:firstLine="567"/>
        <w:jc w:val="both"/>
      </w:pPr>
      <w:r>
        <w:t xml:space="preserve">Эритроциты, с чужеродными АГ на своей поверхности, попадают в кровоток матер при предыдущей беременности и родах (обычно в III </w:t>
      </w:r>
      <w:r>
        <w:t>периоде родов) или, что бывает гораздо реже, при данной беременности. Фактором, способствующим такому переходу, считают оперативные акушерские манипуляции во время беременности. Результатом такого плодово-материнского кровотечения может стать изоиммунизаци</w:t>
      </w:r>
      <w:r>
        <w:t>я у матери. Трансплацентарный переход образующихся АТ в кровяное русло плода приводит к гемолизу эритроцитов плода, что, в свою очередь, приводит к анемии и гипербилирубинемии. Гибербилирубинемия не оказывает значительного влияния на состояние плода, так к</w:t>
      </w:r>
      <w:r>
        <w:t>ак, печень матери берет на себя функцию обезвреживания образующегося билирубина. Гипербилирубинемия становится актуальной проблемой только после родов, чего нельзя сказать про анемию. Влияние анемии на состояние плода обусловлено тканевой гипоксией и серде</w:t>
      </w:r>
      <w:r>
        <w:t>чной недостаточностью. По данным вскрытий детей, умерших от ГБП и ГБН, наблюдали характерную водянку с вздутием живота и выраженным подкожным отеком. Всегда отмечалась выраженная анемия с преобладанием незрелых форм эритроцитов. При вскрытии обнаруживали а</w:t>
      </w:r>
      <w:r>
        <w:t>сцит, чрезмерно увеличенные печень и селезенку; их нижние полюсы могли достигать гребня подвздошной кости. В обоих органах отмечали выраженный экстрамедуллярный эритропоэз, большое количество эритробластов. Все это приводит к нарушению нормальной анатомии.</w:t>
      </w:r>
      <w:r>
        <w:t xml:space="preserve"> Полости сердца обычно расширены и его мышечная стенка гипертрофирована. Вдоль коронарных сосудов сердца можно обнаружить очаги эритропоэза. Часто выявляется гидроторакс. В легких обнаруживают полнокровие и большое число эритробластов. В почках может быть </w:t>
      </w:r>
      <w:r>
        <w:t>выраженный эритропоэз, но они обычно нормальных размеров. В косном мозге отмечают полицитемию. Характерный вид и у плаценты: выраженный отек, увеличение размеров. Вес ее часто достигает 50 % от массы плода. Плацента и оболочки в большей или меньшей степени</w:t>
      </w:r>
      <w:r>
        <w:t xml:space="preserve"> </w:t>
      </w:r>
      <w:r>
        <w:lastRenderedPageBreak/>
        <w:t>окрашены в желтый цвет из-за желчных пигментов, выделяемых почками плода. В ворсинах хориона - отек, стромальная гиперплазия, увеличение числа капилляров.</w:t>
      </w:r>
    </w:p>
    <w:p w:rsidR="00000000" w:rsidRDefault="00BD6C99">
      <w:pPr>
        <w:pStyle w:val="a6"/>
        <w:ind w:firstLine="567"/>
        <w:jc w:val="both"/>
      </w:pPr>
      <w:r>
        <w:t>Несмотря на хорошо описанную картину патологических изменений, хронология процесса не совсем ясна. С</w:t>
      </w:r>
      <w:r>
        <w:t>начала считали, что водянка - это следствие сердечной недостаточности, развившейся на фоне тяжелой анемии и гиперволемии плода, но сейчас стало известно, что у живорожденных детей с водянкой не отмечено ни значительной желудочковой недостаточности, ни гипе</w:t>
      </w:r>
      <w:r>
        <w:t>рволемии. Более свежая точка зрения состоит в том, что асцит у плода - это результат гипертензии в портальной и пупочной венах из-за увеличения и анатомических изменений печени. Вследствие эритропоэза в печеночной ткани одновременно развивается гипопротеин</w:t>
      </w:r>
      <w:r>
        <w:t>емия плода, как результат печеночной недостаточности и неспособности отечной плаценты обеспечивать нормальный перенос аминокислот и пептидов. Это, в свою очередь, ведет к нарастанию асцита и последующему генерализованному отеку. С разработкой методики корд</w:t>
      </w:r>
      <w:r>
        <w:t>оцентеза стало возможным пролить свет на некоторые особенности патофизиологии водянки. Действительно, у пораженных плодов часто обнаруживают гипопротеинемию и гипоальбуминемию, а у плодов с водянкой это - обязательная находка. Эти данные доказывают, что ги</w:t>
      </w:r>
      <w:r>
        <w:t>попротеинемия играет главную роль в генезе водянки плода. Выявлено, что водянка не развивается до тех пор, пока уровень Hb у плода не снижается менее 40 г/л. Средний уровень Ht при водянке составляет 10,2.</w:t>
      </w:r>
    </w:p>
    <w:p w:rsidR="00000000" w:rsidRDefault="00BD6C99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ЭПИДЕМИОЛОГИЯ</w:t>
      </w:r>
    </w:p>
    <w:p w:rsidR="00000000" w:rsidRDefault="00BD6C99">
      <w:pPr>
        <w:pStyle w:val="a6"/>
        <w:ind w:firstLine="567"/>
        <w:jc w:val="both"/>
      </w:pPr>
      <w:r>
        <w:t>Анти-D (Rh) иммунизация наиболее час</w:t>
      </w:r>
      <w:r>
        <w:t>тая причина ГБП. Частота встречаемости Rh(-) индивидуумов среди белого населения Европы и Америки составляет в среднем 15%, среди африканцев - 5-8%, среди американских индейцев менее 3%, у латиноамериканцев - 5-10%. Особо следует отметить народность басков</w:t>
      </w:r>
      <w:r>
        <w:t>, среди которых частота Rh(-) индивидуумов превышает 30%. У монголоидов Rh(-) кровь практически не встречают. Частота Rh(-) индивидуумов у индоевропейцев равна 2%. Вероятность рождения у Rh(-) женщины Rh(+) ребенка от Rh(+) мужа составляет 70%. У женщин бе</w:t>
      </w:r>
      <w:r>
        <w:t>лой расы вероятности несовместимости в браке по D-АГ составляет 10%, а у женщин негроидной расы - 5%. Вероятность изоиммунизации у D(-) женщин после беременности D(+) плодом составляет менее 20%.</w:t>
      </w:r>
    </w:p>
    <w:p w:rsidR="00000000" w:rsidRDefault="00BD6C99">
      <w:pPr>
        <w:pStyle w:val="a6"/>
        <w:ind w:firstLine="567"/>
        <w:jc w:val="both"/>
      </w:pPr>
      <w:r>
        <w:t>Благодаря широкому применению D Igа в целях профилактики, ча</w:t>
      </w:r>
      <w:r>
        <w:t>стота D-сенсибилизации значительно снизилась по сравнению с недалеким прошлым. Сегодня на первое место в роли этиологического фактора изоиммунизации и гемолитической болезни новорожденного (ГБН) вышли другие эритроцитарные АГ (см. таблицу).</w:t>
      </w:r>
    </w:p>
    <w:p w:rsidR="00000000" w:rsidRDefault="00BD6C99">
      <w:pPr>
        <w:pStyle w:val="a6"/>
        <w:ind w:firstLine="567"/>
        <w:outlineLvl w:val="0"/>
        <w:rPr>
          <w:b/>
          <w:bCs/>
          <w:vertAlign w:val="superscript"/>
        </w:rPr>
      </w:pPr>
      <w:r>
        <w:rPr>
          <w:b/>
          <w:bCs/>
        </w:rPr>
        <w:t>АНТИТЕЛА, СПОСО</w:t>
      </w:r>
      <w:r>
        <w:rPr>
          <w:b/>
          <w:bCs/>
        </w:rPr>
        <w:t>БНЫЕ ВЫЗВАТЬ ГЕМОЛОТИЧЕСКУЮ БОЛЕЗНЬ</w:t>
      </w:r>
      <w:r>
        <w:rPr>
          <w:b/>
          <w:bCs/>
          <w:vertAlign w:val="superscript"/>
        </w:rPr>
        <w:t>*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174"/>
        <w:gridCol w:w="3410"/>
        <w:gridCol w:w="318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4" w:type="dxa"/>
            <w:tcBorders>
              <w:top w:val="single" w:sz="6" w:space="0" w:color="auto"/>
              <w:bottom w:val="nil"/>
              <w:right w:val="nil"/>
            </w:tcBorders>
            <w:shd w:val="clear" w:color="auto" w:fill="C0C0C0"/>
          </w:tcPr>
          <w:p w:rsidR="00000000" w:rsidRDefault="00BD6C99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Система</w:t>
            </w:r>
          </w:p>
        </w:tc>
        <w:tc>
          <w:tcPr>
            <w:tcW w:w="341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BD6C99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АГ, вызывающие ГБ</w:t>
            </w:r>
          </w:p>
        </w:tc>
        <w:tc>
          <w:tcPr>
            <w:tcW w:w="3183" w:type="dxa"/>
            <w:tcBorders>
              <w:top w:val="single" w:sz="6" w:space="0" w:color="auto"/>
              <w:left w:val="nil"/>
              <w:bottom w:val="nil"/>
            </w:tcBorders>
            <w:shd w:val="clear" w:color="auto" w:fill="C0C0C0"/>
          </w:tcPr>
          <w:p w:rsidR="00000000" w:rsidRDefault="00BD6C99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Степень ГБ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4" w:type="dxa"/>
            <w:tcBorders>
              <w:top w:val="nil"/>
              <w:bottom w:val="nil"/>
              <w:right w:val="nil"/>
            </w:tcBorders>
          </w:tcPr>
          <w:p w:rsidR="00000000" w:rsidRDefault="00BD6C99">
            <w:pPr>
              <w:pStyle w:val="a6"/>
              <w:ind w:firstLine="567"/>
              <w:jc w:val="both"/>
            </w:pPr>
            <w:r>
              <w:t>CDE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6C99">
            <w:pPr>
              <w:pStyle w:val="a6"/>
              <w:ind w:firstLine="567"/>
              <w:jc w:val="both"/>
              <w:rPr>
                <w:lang w:val="en-US"/>
              </w:rPr>
            </w:pPr>
            <w:r>
              <w:rPr>
                <w:lang w:val="en-US"/>
              </w:rPr>
              <w:t>D, c, E</w:t>
            </w:r>
          </w:p>
          <w:p w:rsidR="00000000" w:rsidRDefault="00BD6C99">
            <w:pPr>
              <w:pStyle w:val="a6"/>
              <w:ind w:firstLine="567"/>
              <w:jc w:val="both"/>
              <w:rPr>
                <w:lang w:val="en-US"/>
              </w:rPr>
            </w:pPr>
            <w:r>
              <w:rPr>
                <w:lang w:val="en-US"/>
              </w:rPr>
              <w:t>C, e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</w:tcBorders>
          </w:tcPr>
          <w:p w:rsidR="00000000" w:rsidRDefault="00BD6C99">
            <w:pPr>
              <w:pStyle w:val="a6"/>
              <w:ind w:firstLine="567"/>
              <w:jc w:val="both"/>
            </w:pPr>
            <w:r>
              <w:t>От легкой до выраженной</w:t>
            </w:r>
          </w:p>
          <w:p w:rsidR="00000000" w:rsidRDefault="00BD6C99">
            <w:pPr>
              <w:pStyle w:val="a6"/>
              <w:ind w:firstLine="567"/>
              <w:jc w:val="both"/>
            </w:pPr>
            <w:r>
              <w:t>От легкой до умеренной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4" w:type="dxa"/>
            <w:tcBorders>
              <w:top w:val="nil"/>
              <w:bottom w:val="nil"/>
              <w:right w:val="nil"/>
            </w:tcBorders>
          </w:tcPr>
          <w:p w:rsidR="00000000" w:rsidRDefault="00BD6C99">
            <w:pPr>
              <w:pStyle w:val="a6"/>
              <w:ind w:firstLine="567"/>
              <w:jc w:val="both"/>
            </w:pPr>
            <w:r>
              <w:t>Lewis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6C99">
            <w:pPr>
              <w:pStyle w:val="a6"/>
              <w:ind w:firstLine="567"/>
              <w:jc w:val="both"/>
            </w:pPr>
            <w: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</w:tcBorders>
          </w:tcPr>
          <w:p w:rsidR="00000000" w:rsidRDefault="00BD6C99">
            <w:pPr>
              <w:pStyle w:val="a6"/>
              <w:ind w:firstLine="567"/>
              <w:jc w:val="both"/>
            </w:pPr>
            <w:r>
              <w:t>Доказанных случаев ГБН 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4" w:type="dxa"/>
            <w:tcBorders>
              <w:top w:val="nil"/>
              <w:bottom w:val="nil"/>
              <w:right w:val="nil"/>
            </w:tcBorders>
          </w:tcPr>
          <w:p w:rsidR="00000000" w:rsidRDefault="00BD6C99">
            <w:pPr>
              <w:pStyle w:val="a6"/>
              <w:ind w:firstLine="567"/>
              <w:jc w:val="both"/>
            </w:pPr>
            <w:r>
              <w:t>I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6C99">
            <w:pPr>
              <w:pStyle w:val="a6"/>
              <w:ind w:firstLine="567"/>
              <w:jc w:val="both"/>
            </w:pPr>
            <w: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</w:tcBorders>
          </w:tcPr>
          <w:p w:rsidR="00000000" w:rsidRDefault="00BD6C99">
            <w:pPr>
              <w:pStyle w:val="a6"/>
              <w:ind w:firstLine="567"/>
              <w:jc w:val="both"/>
            </w:pPr>
            <w:r>
              <w:t>Доказанных случаев ГБН 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4" w:type="dxa"/>
            <w:tcBorders>
              <w:top w:val="nil"/>
              <w:bottom w:val="nil"/>
              <w:right w:val="nil"/>
            </w:tcBorders>
          </w:tcPr>
          <w:p w:rsidR="00000000" w:rsidRDefault="00BD6C99">
            <w:pPr>
              <w:pStyle w:val="a6"/>
              <w:ind w:firstLine="567"/>
              <w:jc w:val="both"/>
              <w:rPr>
                <w:lang w:val="en-US"/>
              </w:rPr>
            </w:pPr>
            <w:r>
              <w:rPr>
                <w:lang w:val="en-US"/>
              </w:rPr>
              <w:t>Kell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6C99">
            <w:pPr>
              <w:pStyle w:val="a6"/>
              <w:ind w:firstLine="567"/>
              <w:jc w:val="both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  <w:p w:rsidR="00000000" w:rsidRDefault="00BD6C99">
            <w:pPr>
              <w:pStyle w:val="a6"/>
              <w:ind w:firstLine="567"/>
              <w:jc w:val="both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</w:tcBorders>
          </w:tcPr>
          <w:p w:rsidR="00000000" w:rsidRDefault="00BD6C99">
            <w:pPr>
              <w:pStyle w:val="a6"/>
              <w:ind w:firstLine="567"/>
              <w:jc w:val="both"/>
            </w:pPr>
            <w:r>
              <w:t>От легкой до тяжелой с водянкой плода</w:t>
            </w:r>
          </w:p>
          <w:p w:rsidR="00000000" w:rsidRDefault="00BD6C99">
            <w:pPr>
              <w:pStyle w:val="a6"/>
              <w:ind w:firstLine="567"/>
              <w:jc w:val="both"/>
            </w:pPr>
            <w:r>
              <w:t>О</w:t>
            </w:r>
            <w:r>
              <w:t>т легкой до тяжелой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4" w:type="dxa"/>
            <w:tcBorders>
              <w:top w:val="nil"/>
              <w:bottom w:val="nil"/>
              <w:right w:val="nil"/>
            </w:tcBorders>
          </w:tcPr>
          <w:p w:rsidR="00000000" w:rsidRDefault="00BD6C99">
            <w:pPr>
              <w:pStyle w:val="a6"/>
              <w:ind w:firstLine="567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Duffy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6C99">
            <w:pPr>
              <w:pStyle w:val="a6"/>
              <w:ind w:firstLine="567"/>
              <w:jc w:val="both"/>
              <w:rPr>
                <w:lang w:val="en-US"/>
              </w:rPr>
            </w:pPr>
            <w:r>
              <w:rPr>
                <w:lang w:val="en-US"/>
              </w:rPr>
              <w:t>Fya</w:t>
            </w:r>
          </w:p>
          <w:p w:rsidR="00000000" w:rsidRDefault="00BD6C99">
            <w:pPr>
              <w:pStyle w:val="a6"/>
              <w:ind w:firstLine="567"/>
              <w:jc w:val="both"/>
              <w:rPr>
                <w:lang w:val="en-US"/>
              </w:rPr>
            </w:pPr>
            <w:r>
              <w:rPr>
                <w:lang w:val="en-US"/>
              </w:rPr>
              <w:t>Fyb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</w:tcBorders>
          </w:tcPr>
          <w:p w:rsidR="00000000" w:rsidRDefault="00BD6C99">
            <w:pPr>
              <w:pStyle w:val="a6"/>
              <w:ind w:firstLine="567"/>
              <w:jc w:val="both"/>
            </w:pPr>
            <w:r>
              <w:t>От легкой до тяжелой с водянкой плода</w:t>
            </w:r>
          </w:p>
          <w:p w:rsidR="00000000" w:rsidRDefault="00BD6C99">
            <w:pPr>
              <w:pStyle w:val="a6"/>
              <w:ind w:firstLine="567"/>
              <w:jc w:val="both"/>
            </w:pPr>
            <w:r>
              <w:t>Не ведет к ГБН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4" w:type="dxa"/>
            <w:tcBorders>
              <w:top w:val="nil"/>
              <w:bottom w:val="nil"/>
              <w:right w:val="nil"/>
            </w:tcBorders>
          </w:tcPr>
          <w:p w:rsidR="00000000" w:rsidRDefault="00BD6C99">
            <w:pPr>
              <w:pStyle w:val="a6"/>
              <w:ind w:firstLine="567"/>
              <w:jc w:val="both"/>
              <w:rPr>
                <w:lang w:val="en-US"/>
              </w:rPr>
            </w:pPr>
            <w:r>
              <w:rPr>
                <w:lang w:val="en-US"/>
              </w:rPr>
              <w:t>Kidd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6C99">
            <w:pPr>
              <w:pStyle w:val="a6"/>
              <w:ind w:firstLine="567"/>
              <w:jc w:val="both"/>
              <w:rPr>
                <w:lang w:val="en-US"/>
              </w:rPr>
            </w:pPr>
            <w:r>
              <w:rPr>
                <w:lang w:val="en-US"/>
              </w:rPr>
              <w:t>Jka, Jkb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</w:tcBorders>
          </w:tcPr>
          <w:p w:rsidR="00000000" w:rsidRDefault="00BD6C99">
            <w:pPr>
              <w:pStyle w:val="a6"/>
              <w:ind w:firstLine="567"/>
              <w:jc w:val="both"/>
            </w:pPr>
            <w:r>
              <w:t>От легкой до тяжелой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4" w:type="dxa"/>
            <w:tcBorders>
              <w:top w:val="nil"/>
              <w:bottom w:val="nil"/>
              <w:right w:val="nil"/>
            </w:tcBorders>
          </w:tcPr>
          <w:p w:rsidR="00000000" w:rsidRDefault="00BD6C99">
            <w:pPr>
              <w:pStyle w:val="a6"/>
              <w:ind w:firstLine="567"/>
              <w:jc w:val="both"/>
              <w:rPr>
                <w:lang w:val="en-US"/>
              </w:rPr>
            </w:pPr>
            <w:r>
              <w:rPr>
                <w:lang w:val="en-US"/>
              </w:rPr>
              <w:t>MNSs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6C99">
            <w:pPr>
              <w:pStyle w:val="a6"/>
              <w:ind w:firstLine="567"/>
              <w:jc w:val="both"/>
              <w:rPr>
                <w:lang w:val="en-US"/>
              </w:rPr>
            </w:pPr>
            <w:r>
              <w:rPr>
                <w:lang w:val="en-US"/>
              </w:rPr>
              <w:t>M, S, s</w:t>
            </w:r>
          </w:p>
          <w:p w:rsidR="00000000" w:rsidRDefault="00BD6C99">
            <w:pPr>
              <w:pStyle w:val="a6"/>
              <w:ind w:firstLine="567"/>
              <w:jc w:val="both"/>
            </w:pPr>
            <w:r>
              <w:t>N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</w:tcBorders>
          </w:tcPr>
          <w:p w:rsidR="00000000" w:rsidRDefault="00BD6C99">
            <w:pPr>
              <w:pStyle w:val="a6"/>
              <w:ind w:firstLine="567"/>
              <w:jc w:val="both"/>
            </w:pPr>
            <w:r>
              <w:t>От легкой до тяжелой</w:t>
            </w:r>
          </w:p>
          <w:p w:rsidR="00000000" w:rsidRDefault="00BD6C99">
            <w:pPr>
              <w:pStyle w:val="a6"/>
              <w:ind w:firstLine="567"/>
              <w:jc w:val="both"/>
              <w:rPr>
                <w:lang w:val="en-US"/>
              </w:rPr>
            </w:pPr>
            <w:r>
              <w:t>Легкая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4" w:type="dxa"/>
            <w:tcBorders>
              <w:top w:val="nil"/>
              <w:bottom w:val="nil"/>
              <w:right w:val="nil"/>
            </w:tcBorders>
          </w:tcPr>
          <w:p w:rsidR="00000000" w:rsidRDefault="00BD6C99">
            <w:pPr>
              <w:pStyle w:val="a6"/>
              <w:ind w:firstLine="567"/>
              <w:jc w:val="both"/>
              <w:rPr>
                <w:lang w:val="en-US"/>
              </w:rPr>
            </w:pPr>
            <w:r>
              <w:rPr>
                <w:lang w:val="en-US"/>
              </w:rPr>
              <w:t>Lutheran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6C99">
            <w:pPr>
              <w:pStyle w:val="a6"/>
              <w:ind w:firstLine="567"/>
              <w:jc w:val="both"/>
              <w:rPr>
                <w:lang w:val="en-US"/>
              </w:rPr>
            </w:pPr>
            <w:r>
              <w:rPr>
                <w:lang w:val="en-US"/>
              </w:rPr>
              <w:t>Lua, Lub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</w:tcBorders>
          </w:tcPr>
          <w:p w:rsidR="00000000" w:rsidRDefault="00BD6C99">
            <w:pPr>
              <w:pStyle w:val="a6"/>
              <w:ind w:firstLine="567"/>
              <w:jc w:val="both"/>
              <w:rPr>
                <w:lang w:val="en-US"/>
              </w:rPr>
            </w:pPr>
            <w:r>
              <w:t>Легкая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4" w:type="dxa"/>
            <w:tcBorders>
              <w:top w:val="nil"/>
              <w:bottom w:val="nil"/>
              <w:right w:val="nil"/>
            </w:tcBorders>
          </w:tcPr>
          <w:p w:rsidR="00000000" w:rsidRDefault="00BD6C99">
            <w:pPr>
              <w:pStyle w:val="a6"/>
              <w:ind w:firstLine="567"/>
              <w:jc w:val="both"/>
              <w:rPr>
                <w:lang w:val="en-US"/>
              </w:rPr>
            </w:pPr>
            <w:r>
              <w:rPr>
                <w:lang w:val="en-US"/>
              </w:rPr>
              <w:t>Diego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6C99">
            <w:pPr>
              <w:pStyle w:val="a6"/>
              <w:ind w:firstLine="567"/>
              <w:jc w:val="both"/>
              <w:rPr>
                <w:lang w:val="en-US"/>
              </w:rPr>
            </w:pPr>
            <w:r>
              <w:rPr>
                <w:lang w:val="en-US"/>
              </w:rPr>
              <w:t>Dia, Dib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</w:tcBorders>
          </w:tcPr>
          <w:p w:rsidR="00000000" w:rsidRDefault="00BD6C99">
            <w:pPr>
              <w:pStyle w:val="a6"/>
              <w:ind w:firstLine="567"/>
              <w:jc w:val="both"/>
            </w:pPr>
            <w:r>
              <w:t>От легкой до тяжелой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4" w:type="dxa"/>
            <w:tcBorders>
              <w:top w:val="nil"/>
              <w:bottom w:val="nil"/>
              <w:right w:val="nil"/>
            </w:tcBorders>
          </w:tcPr>
          <w:p w:rsidR="00000000" w:rsidRDefault="00BD6C99">
            <w:pPr>
              <w:pStyle w:val="a6"/>
              <w:ind w:firstLine="567"/>
              <w:jc w:val="both"/>
            </w:pPr>
            <w:r>
              <w:t>Xg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6C99">
            <w:pPr>
              <w:pStyle w:val="a6"/>
              <w:ind w:firstLine="567"/>
              <w:jc w:val="both"/>
            </w:pPr>
            <w:r>
              <w:t>Xga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</w:tcBorders>
          </w:tcPr>
          <w:p w:rsidR="00000000" w:rsidRDefault="00BD6C99">
            <w:pPr>
              <w:pStyle w:val="a6"/>
              <w:ind w:firstLine="567"/>
              <w:jc w:val="both"/>
            </w:pPr>
            <w:r>
              <w:t>Легкая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4" w:type="dxa"/>
            <w:tcBorders>
              <w:top w:val="nil"/>
              <w:bottom w:val="nil"/>
              <w:right w:val="nil"/>
            </w:tcBorders>
          </w:tcPr>
          <w:p w:rsidR="00000000" w:rsidRDefault="00BD6C99">
            <w:pPr>
              <w:pStyle w:val="a6"/>
              <w:ind w:firstLine="567"/>
              <w:jc w:val="both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6C99">
            <w:pPr>
              <w:pStyle w:val="a6"/>
              <w:ind w:firstLine="567"/>
              <w:jc w:val="both"/>
              <w:rPr>
                <w:lang w:val="en-US"/>
              </w:rPr>
            </w:pPr>
            <w:r>
              <w:rPr>
                <w:lang w:val="en-US"/>
              </w:rPr>
              <w:t>PP1Pk (Tja)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</w:tcBorders>
          </w:tcPr>
          <w:p w:rsidR="00000000" w:rsidRDefault="00BD6C99">
            <w:pPr>
              <w:pStyle w:val="a6"/>
              <w:ind w:firstLine="567"/>
              <w:jc w:val="both"/>
            </w:pPr>
            <w:r>
              <w:t>От легкой до тяжелой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4" w:type="dxa"/>
            <w:tcBorders>
              <w:top w:val="nil"/>
              <w:bottom w:val="nil"/>
              <w:right w:val="nil"/>
            </w:tcBorders>
          </w:tcPr>
          <w:p w:rsidR="00000000" w:rsidRDefault="00BD6C99">
            <w:pPr>
              <w:pStyle w:val="a6"/>
              <w:ind w:firstLine="567"/>
              <w:jc w:val="both"/>
              <w:rPr>
                <w:lang w:val="en-US"/>
              </w:rPr>
            </w:pPr>
            <w:r>
              <w:rPr>
                <w:lang w:val="en-US"/>
              </w:rPr>
              <w:t>Public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6C99">
            <w:pPr>
              <w:pStyle w:val="a6"/>
              <w:ind w:firstLine="567"/>
              <w:jc w:val="both"/>
              <w:rPr>
                <w:lang w:val="en-US"/>
              </w:rPr>
            </w:pPr>
            <w:r>
              <w:rPr>
                <w:lang w:val="en-US"/>
              </w:rPr>
              <w:t>Yta</w:t>
            </w:r>
          </w:p>
          <w:p w:rsidR="00000000" w:rsidRDefault="00BD6C99">
            <w:pPr>
              <w:pStyle w:val="a6"/>
              <w:ind w:firstLine="567"/>
              <w:jc w:val="both"/>
              <w:rPr>
                <w:lang w:val="en-US"/>
              </w:rPr>
            </w:pPr>
            <w:r>
              <w:rPr>
                <w:lang w:val="en-US"/>
              </w:rPr>
              <w:t>Ytb, Lan, Ge, Jra</w:t>
            </w:r>
          </w:p>
          <w:p w:rsidR="00000000" w:rsidRDefault="00BD6C99">
            <w:pPr>
              <w:pStyle w:val="a6"/>
              <w:ind w:firstLine="567"/>
              <w:jc w:val="both"/>
            </w:pPr>
            <w:r>
              <w:t>Ena</w:t>
            </w:r>
          </w:p>
          <w:p w:rsidR="00000000" w:rsidRDefault="00BD6C99">
            <w:pPr>
              <w:pStyle w:val="a6"/>
              <w:ind w:firstLine="567"/>
              <w:jc w:val="both"/>
            </w:pPr>
            <w:r>
              <w:t>Coa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</w:tcBorders>
          </w:tcPr>
          <w:p w:rsidR="00000000" w:rsidRDefault="00BD6C99">
            <w:pPr>
              <w:pStyle w:val="a6"/>
              <w:ind w:firstLine="567"/>
              <w:jc w:val="both"/>
            </w:pPr>
            <w:r>
              <w:t>От умеренной до тяжелой</w:t>
            </w:r>
          </w:p>
          <w:p w:rsidR="00000000" w:rsidRDefault="00BD6C99">
            <w:pPr>
              <w:pStyle w:val="a6"/>
              <w:ind w:firstLine="567"/>
              <w:jc w:val="both"/>
            </w:pPr>
            <w:r>
              <w:t>Легкая</w:t>
            </w:r>
          </w:p>
          <w:p w:rsidR="00000000" w:rsidRDefault="00BD6C99">
            <w:pPr>
              <w:pStyle w:val="a6"/>
              <w:ind w:firstLine="567"/>
              <w:jc w:val="both"/>
            </w:pPr>
            <w:r>
              <w:t>Умеренная</w:t>
            </w:r>
          </w:p>
          <w:p w:rsidR="00000000" w:rsidRDefault="00BD6C99">
            <w:pPr>
              <w:pStyle w:val="a6"/>
              <w:ind w:firstLine="567"/>
              <w:jc w:val="both"/>
            </w:pPr>
            <w:r>
              <w:t>Тяжелая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4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BD6C99">
            <w:pPr>
              <w:pStyle w:val="a6"/>
              <w:ind w:firstLine="567"/>
              <w:jc w:val="both"/>
              <w:rPr>
                <w:lang w:val="en-US"/>
              </w:rPr>
            </w:pPr>
            <w:r>
              <w:rPr>
                <w:lang w:val="en-US"/>
              </w:rPr>
              <w:t>Private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BD6C99">
            <w:pPr>
              <w:pStyle w:val="a6"/>
              <w:ind w:firstLine="567"/>
              <w:jc w:val="both"/>
              <w:rPr>
                <w:lang w:val="en-US"/>
              </w:rPr>
            </w:pPr>
            <w:r>
              <w:rPr>
                <w:lang w:val="en-US"/>
              </w:rPr>
              <w:t>Coa-b, Batty, Becker, Berrens, Evans, Gonzales, Hunt, Jobbins, Rm, Ven, Wrightb</w:t>
            </w:r>
          </w:p>
          <w:p w:rsidR="00000000" w:rsidRDefault="00BD6C99">
            <w:pPr>
              <w:pStyle w:val="a6"/>
              <w:ind w:firstLine="567"/>
              <w:jc w:val="both"/>
              <w:rPr>
                <w:lang w:val="en-US"/>
              </w:rPr>
            </w:pPr>
            <w:r>
              <w:rPr>
                <w:lang w:val="en-US"/>
              </w:rPr>
              <w:t>Heibel, Radin, Zd</w:t>
            </w:r>
          </w:p>
          <w:p w:rsidR="00000000" w:rsidRDefault="00BD6C99">
            <w:pPr>
              <w:pStyle w:val="a6"/>
              <w:ind w:firstLine="567"/>
              <w:jc w:val="both"/>
              <w:rPr>
                <w:lang w:val="en-US"/>
              </w:rPr>
            </w:pPr>
            <w:r>
              <w:rPr>
                <w:lang w:val="en-US"/>
              </w:rPr>
              <w:t>Good, Wrighta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BD6C99">
            <w:pPr>
              <w:pStyle w:val="a6"/>
              <w:ind w:firstLine="567"/>
              <w:jc w:val="both"/>
            </w:pPr>
            <w:r>
              <w:t>Легкая</w:t>
            </w:r>
          </w:p>
          <w:p w:rsidR="00000000" w:rsidRDefault="00BD6C99">
            <w:pPr>
              <w:pStyle w:val="a6"/>
              <w:ind w:firstLine="567"/>
              <w:jc w:val="both"/>
            </w:pPr>
            <w:r>
              <w:t>Умеренна</w:t>
            </w:r>
            <w:r>
              <w:t>я</w:t>
            </w:r>
          </w:p>
          <w:p w:rsidR="00000000" w:rsidRDefault="00BD6C99">
            <w:pPr>
              <w:pStyle w:val="a6"/>
              <w:ind w:firstLine="567"/>
              <w:jc w:val="both"/>
            </w:pPr>
            <w:r>
              <w:t>Тяжелая</w:t>
            </w:r>
          </w:p>
        </w:tc>
      </w:tr>
    </w:tbl>
    <w:p w:rsidR="00000000" w:rsidRDefault="00BD6C99">
      <w:pPr>
        <w:pStyle w:val="a6"/>
        <w:ind w:firstLine="567"/>
        <w:jc w:val="both"/>
        <w:rPr>
          <w:i/>
          <w:iCs/>
        </w:rPr>
      </w:pPr>
      <w:r>
        <w:rPr>
          <w:i/>
          <w:iCs/>
        </w:rPr>
        <w:t xml:space="preserve">* Из технического бюллетеня № 148, 1990, “Ведение изоиммунизации при беременности” </w:t>
      </w:r>
      <w:r>
        <w:rPr>
          <w:i/>
          <w:iCs/>
        </w:rPr>
        <w:br/>
        <w:t>Американского общества акушеров и гинекологов.</w:t>
      </w:r>
    </w:p>
    <w:p w:rsidR="00000000" w:rsidRDefault="00BD6C99">
      <w:pPr>
        <w:pStyle w:val="a6"/>
        <w:ind w:firstLine="567"/>
        <w:jc w:val="both"/>
      </w:pPr>
      <w:r>
        <w:t> </w:t>
      </w:r>
    </w:p>
    <w:p w:rsidR="00000000" w:rsidRDefault="00BD6C99">
      <w:pPr>
        <w:pStyle w:val="a6"/>
        <w:ind w:firstLine="567"/>
        <w:jc w:val="both"/>
      </w:pPr>
      <w:r>
        <w:t>В системе CDE (Rh) антигенов АГ-Е занимает, после АГ-D, первое место по способности вызывать ГБП. Наиболее часто</w:t>
      </w:r>
      <w:r>
        <w:t xml:space="preserve"> обнаруживаемые АТ, не считая АТ-D, - это АТ против АГ системы </w:t>
      </w:r>
      <w:r>
        <w:rPr>
          <w:b/>
          <w:bCs/>
          <w:i/>
          <w:iCs/>
        </w:rPr>
        <w:t>Lewis</w:t>
      </w:r>
      <w:r>
        <w:t>. Эти АТ относят к холодовым агглютининам, преимущественно из группы IgM. Их экспрессия на фетальных эритроцитах выражена незначительно, поэтому они не вызывают ГБП.</w:t>
      </w:r>
    </w:p>
    <w:p w:rsidR="00000000" w:rsidRDefault="00BD6C99">
      <w:pPr>
        <w:pStyle w:val="a6"/>
        <w:ind w:firstLine="567"/>
        <w:jc w:val="both"/>
      </w:pPr>
      <w:r>
        <w:t xml:space="preserve">АТ к </w:t>
      </w:r>
      <w:r>
        <w:rPr>
          <w:b/>
          <w:bCs/>
          <w:i/>
          <w:iCs/>
        </w:rPr>
        <w:t>Kell</w:t>
      </w:r>
      <w:r>
        <w:t>-АГ образуютс</w:t>
      </w:r>
      <w:r>
        <w:t xml:space="preserve">я в ответ на трансфузию Kell(-) пациентке Kell(+) крови. АТ-Kell могут быть причиной выраженной ГБП. Около 90 % населения планеты - Kell(-), поэтому вероятность ГБП невысока. К более редким АГ, способным вызвать изоиммунизацию и ГБП относят АГ </w:t>
      </w:r>
      <w:r>
        <w:rPr>
          <w:b/>
          <w:bCs/>
          <w:i/>
          <w:iCs/>
        </w:rPr>
        <w:t>Duffy, Kidd,</w:t>
      </w:r>
      <w:r>
        <w:rPr>
          <w:b/>
          <w:bCs/>
          <w:i/>
          <w:iCs/>
        </w:rPr>
        <w:t xml:space="preserve"> MNSs, Lutheran, Diego, Xg, Public</w:t>
      </w:r>
      <w:r>
        <w:t xml:space="preserve"> и </w:t>
      </w:r>
      <w:r>
        <w:rPr>
          <w:b/>
          <w:bCs/>
          <w:i/>
          <w:iCs/>
        </w:rPr>
        <w:t>Private</w:t>
      </w:r>
      <w:r>
        <w:t>. Атипичные АТ обнаруживают приблизительно у 2 % женщин при скрининговом обследовании. Только незначительная часть из этих АТ может стать причиной ГБП.</w:t>
      </w:r>
    </w:p>
    <w:p w:rsidR="00000000" w:rsidRDefault="00BD6C99">
      <w:pPr>
        <w:pStyle w:val="a6"/>
        <w:ind w:firstLine="567"/>
        <w:jc w:val="both"/>
      </w:pPr>
      <w:r>
        <w:t>В 20-25 % всех случаев беременности имеет место несовместимо</w:t>
      </w:r>
      <w:r>
        <w:t xml:space="preserve">сть матери и плода по системе </w:t>
      </w:r>
      <w:r>
        <w:rPr>
          <w:b/>
          <w:bCs/>
        </w:rPr>
        <w:t>АВО</w:t>
      </w:r>
      <w:r>
        <w:t xml:space="preserve"> (60 % всех случаев ГБН). Только в 1 % всех случаев ГБН требуется </w:t>
      </w:r>
      <w:r>
        <w:rPr>
          <w:i/>
          <w:iCs/>
          <w:color w:val="FF0000"/>
        </w:rPr>
        <w:t>заменное переливание крови</w:t>
      </w:r>
      <w:r>
        <w:t>. Обычно в первые 24 часа после родов у новорожденных - умеренная анемия и легкая или умеренная степень гипербилирубинемии. Несовме</w:t>
      </w:r>
      <w:r>
        <w:t>стимость по системе АВО чаще всего отмечают при сочетании О(I) группы крови матери и А(II) или B(III) группы крови новорожденного. Ситуация может повторяться при последующих беременностях.</w:t>
      </w:r>
    </w:p>
    <w:p w:rsidR="00000000" w:rsidRDefault="00BD6C99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ЭТИОЛОГИЯ</w:t>
      </w:r>
    </w:p>
    <w:p w:rsidR="00000000" w:rsidRDefault="00BD6C99">
      <w:pPr>
        <w:pStyle w:val="a6"/>
        <w:ind w:firstLine="567"/>
        <w:jc w:val="both"/>
      </w:pPr>
      <w:r>
        <w:t>Изоиммунизация развивается в ответ на плодово-материнское</w:t>
      </w:r>
      <w:r>
        <w:t xml:space="preserve"> кровотечение, при котором в кровяное русло матери попадает достаточное количество фетальных эритроцитов, или в ответ на переливание крови, несовместимой по данному АГ. Вероятность изоиммунизации прямо пропорциональна количеству несовместимой крови, попавш</w:t>
      </w:r>
      <w:r>
        <w:t>ей в кровяное русло матери. Необходимым минимальным количеством крови, способным вызвать D-изоиммунизацию, считают 0,1 мл.</w:t>
      </w:r>
    </w:p>
    <w:p w:rsidR="00000000" w:rsidRDefault="00BD6C99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ЗАБОЛЕВАЕМОСТЬ И СМЕРТНОСТЬ</w:t>
      </w:r>
    </w:p>
    <w:p w:rsidR="00000000" w:rsidRDefault="00BD6C99">
      <w:pPr>
        <w:pStyle w:val="a6"/>
        <w:ind w:firstLine="567"/>
        <w:jc w:val="both"/>
      </w:pPr>
      <w:r>
        <w:t>Тяжесть ГБП при последующих беременностях обычно возрастает. Картина гемолиза и водянки плода обычно разв</w:t>
      </w:r>
      <w:r>
        <w:t xml:space="preserve">орачивается в том же сроке, что и при предыдущей беременности или раньше. Выживаемость плодов и новорожденных в современных условиях составляет более 80 %, благодаря внедрению в клиническую практику современных технологий трансфузии и интенсивного ведения </w:t>
      </w:r>
      <w:r>
        <w:t>новорожденных. Материнская заболеваемость и смертность не отличается от уровня в общей популяции беременных.</w:t>
      </w:r>
    </w:p>
    <w:p w:rsidR="00000000" w:rsidRDefault="00BD6C99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ДИАГНОСТИКА</w:t>
      </w:r>
    </w:p>
    <w:p w:rsidR="00000000" w:rsidRDefault="00BD6C99">
      <w:pPr>
        <w:pStyle w:val="a6"/>
        <w:ind w:firstLine="567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Анамнез</w:t>
      </w:r>
    </w:p>
    <w:p w:rsidR="00000000" w:rsidRDefault="00BD6C99">
      <w:pPr>
        <w:pStyle w:val="a6"/>
        <w:ind w:firstLine="567"/>
        <w:jc w:val="both"/>
      </w:pPr>
      <w:r>
        <w:t>Наличие в анамнезе мертворождений в сочетании с водянкой плода или рождение живого плода с признаками водянки требует проведени</w:t>
      </w:r>
      <w:r>
        <w:t>я соответствующего иммунологического обследования при данной беременности.</w:t>
      </w:r>
    </w:p>
    <w:p w:rsidR="00000000" w:rsidRDefault="00BD6C99">
      <w:pPr>
        <w:pStyle w:val="a6"/>
        <w:ind w:firstLine="567"/>
        <w:jc w:val="both"/>
      </w:pPr>
      <w:r>
        <w:t>Причины неадекватной анти Rh-профилактики при предыдущей беременности могут быть следующие:</w:t>
      </w:r>
    </w:p>
    <w:p w:rsidR="00000000" w:rsidRDefault="00BD6C99">
      <w:pPr>
        <w:pStyle w:val="a6"/>
        <w:ind w:firstLine="567"/>
        <w:jc w:val="both"/>
      </w:pPr>
      <w:r>
        <w:t>- не было сведений о Rh-принадлежности женщины на ранних этапах беременности при угрожающ</w:t>
      </w:r>
      <w:r>
        <w:t>ем аборте с кровотечением;</w:t>
      </w:r>
    </w:p>
    <w:p w:rsidR="00000000" w:rsidRDefault="00BD6C99">
      <w:pPr>
        <w:pStyle w:val="a6"/>
        <w:ind w:firstLine="567"/>
        <w:jc w:val="both"/>
      </w:pPr>
      <w:r>
        <w:t>- D Ig или не назначался или не был введен своевременно;</w:t>
      </w:r>
    </w:p>
    <w:p w:rsidR="00000000" w:rsidRDefault="00BD6C99">
      <w:pPr>
        <w:pStyle w:val="a6"/>
        <w:ind w:firstLine="567"/>
        <w:jc w:val="both"/>
      </w:pPr>
      <w:r>
        <w:t>- в. введенная доза D Ig оказалась недостаточной;</w:t>
      </w:r>
    </w:p>
    <w:p w:rsidR="00000000" w:rsidRDefault="00BD6C99">
      <w:pPr>
        <w:pStyle w:val="a6"/>
        <w:ind w:firstLine="567"/>
        <w:jc w:val="both"/>
      </w:pPr>
      <w:r>
        <w:t>- женщина отказалась от введения ей D Ig (на религиозной почве или по другой причине);</w:t>
      </w:r>
    </w:p>
    <w:p w:rsidR="00000000" w:rsidRDefault="00BD6C99">
      <w:pPr>
        <w:pStyle w:val="a6"/>
        <w:ind w:firstLine="567"/>
        <w:jc w:val="both"/>
      </w:pPr>
      <w:r>
        <w:t>- у беременной, ее ребенка или мужа</w:t>
      </w:r>
      <w:r>
        <w:t xml:space="preserve"> неправильно определена Rh принадлежность.</w:t>
      </w:r>
    </w:p>
    <w:p w:rsidR="00000000" w:rsidRDefault="00BD6C99">
      <w:pPr>
        <w:pStyle w:val="a6"/>
        <w:ind w:firstLine="567"/>
        <w:jc w:val="both"/>
      </w:pPr>
      <w:r>
        <w:t>Если выявлена D</w:t>
      </w:r>
      <w:r>
        <w:rPr>
          <w:vertAlign w:val="superscript"/>
        </w:rPr>
        <w:t>u</w:t>
      </w:r>
      <w:r>
        <w:t xml:space="preserve"> принадлежность крови, беременную следует вести как D(+).</w:t>
      </w:r>
    </w:p>
    <w:p w:rsidR="00000000" w:rsidRDefault="00BD6C99">
      <w:pPr>
        <w:pStyle w:val="a6"/>
        <w:ind w:firstLine="567"/>
        <w:jc w:val="center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Осмотр</w:t>
      </w:r>
    </w:p>
    <w:p w:rsidR="00000000" w:rsidRDefault="00BD6C99">
      <w:pPr>
        <w:pStyle w:val="a6"/>
        <w:ind w:firstLine="567"/>
        <w:jc w:val="both"/>
      </w:pPr>
      <w:r>
        <w:t>При физикальном исследовании может обратить на себя внимание только несоответствие высоты дна матки сроку беременности из-за возможн</w:t>
      </w:r>
      <w:r>
        <w:t>ого многоводия. При УЗИ можно также выявить другие признаки ГБП.</w:t>
      </w:r>
    </w:p>
    <w:p w:rsidR="00000000" w:rsidRDefault="00BD6C99">
      <w:pPr>
        <w:pStyle w:val="a6"/>
        <w:ind w:firstLine="567"/>
        <w:jc w:val="center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Основные этапы диагностического процесса</w:t>
      </w:r>
    </w:p>
    <w:p w:rsidR="00000000" w:rsidRDefault="00BD6C99">
      <w:pPr>
        <w:pStyle w:val="a6"/>
        <w:ind w:firstLine="567"/>
        <w:jc w:val="both"/>
      </w:pPr>
      <w:r>
        <w:t xml:space="preserve">- Необходимо </w:t>
      </w:r>
      <w:r>
        <w:rPr>
          <w:i/>
          <w:iCs/>
        </w:rPr>
        <w:t>пренатальное определение группы крови и скрининг на АТ</w:t>
      </w:r>
      <w:r>
        <w:t xml:space="preserve">, способные вызвать ГБП. Затем следует определить группу крови и Rh принадлежность </w:t>
      </w:r>
      <w:r>
        <w:t xml:space="preserve">у мужа (полового партнера), а также, по возможности, его генотип </w:t>
      </w:r>
      <w:r>
        <w:rPr>
          <w:i/>
          <w:iCs/>
        </w:rPr>
        <w:t>(гетеро-, гомозиготность)</w:t>
      </w:r>
      <w:r>
        <w:t>. При невозможности проведения этого исследования следует считать, что отец ребенка - Rh(+).</w:t>
      </w:r>
    </w:p>
    <w:p w:rsidR="00000000" w:rsidRDefault="00BD6C99">
      <w:pPr>
        <w:pStyle w:val="a6"/>
        <w:ind w:firstLine="567"/>
        <w:jc w:val="both"/>
      </w:pPr>
      <w:r>
        <w:t>- Если беременная сенсибилизирована к другим АГ (не Rh-АГ), ее беременнос</w:t>
      </w:r>
      <w:r>
        <w:t xml:space="preserve">ть следует вести по той же схеме, что и при D- изоиммунизации. Исключением будут только случаи Kell- изоиммунизации, т.к. результаты </w:t>
      </w:r>
      <w:r>
        <w:rPr>
          <w:i/>
          <w:iCs/>
        </w:rPr>
        <w:t>спектрофотометрии</w:t>
      </w:r>
      <w:r>
        <w:t xml:space="preserve"> слабо коррелируют с тяжестью анемии плода. Случаи Kell- изоиммунизации требуют от врача более агрессивног</w:t>
      </w:r>
      <w:r>
        <w:t>о ведения беременности.</w:t>
      </w:r>
    </w:p>
    <w:p w:rsidR="00000000" w:rsidRDefault="00BD6C99">
      <w:pPr>
        <w:pStyle w:val="a6"/>
        <w:ind w:firstLine="567"/>
        <w:jc w:val="both"/>
      </w:pPr>
      <w:r>
        <w:t>- Титр сывороточных АТ у матери:</w:t>
      </w:r>
    </w:p>
    <w:p w:rsidR="00000000" w:rsidRDefault="00BD6C99">
      <w:pPr>
        <w:pStyle w:val="a6"/>
        <w:numPr>
          <w:ilvl w:val="1"/>
          <w:numId w:val="1"/>
        </w:numPr>
        <w:ind w:left="0" w:firstLine="567"/>
        <w:jc w:val="both"/>
      </w:pPr>
      <w:r>
        <w:t>при титре &lt; 1:16 у женщины, иммунизированной при данной беременности, риск развития ГБП невысок. Риск развития ГБП при последующих беременностях при данном титре АТ возрастает. Критические уровни т</w:t>
      </w:r>
      <w:r>
        <w:t>итра АТ по другим системам эритроцитарных АГ не так четко определены.</w:t>
      </w:r>
    </w:p>
    <w:p w:rsidR="00000000" w:rsidRDefault="00BD6C99">
      <w:pPr>
        <w:pStyle w:val="a6"/>
        <w:numPr>
          <w:ilvl w:val="1"/>
          <w:numId w:val="1"/>
        </w:numPr>
        <w:ind w:left="0" w:firstLine="567"/>
        <w:jc w:val="both"/>
      </w:pPr>
      <w:r>
        <w:t>после 16-18 недель беременности титр АТ следует определять через каждые 2-4 недели. Сыворотку, оставшуюся от предыдущего теста, следует сохранять в качестве контроля. Это позволяет пов</w:t>
      </w:r>
      <w:r>
        <w:t xml:space="preserve">ысить точность теста. Проведения </w:t>
      </w:r>
      <w:r>
        <w:rPr>
          <w:i/>
          <w:iCs/>
        </w:rPr>
        <w:t>амниоцентеза</w:t>
      </w:r>
      <w:r>
        <w:t xml:space="preserve"> исключает необходимость повторного тестирования на титр АТ.</w:t>
      </w:r>
    </w:p>
    <w:p w:rsidR="00000000" w:rsidRDefault="00BD6C99">
      <w:pPr>
        <w:pStyle w:val="a6"/>
        <w:ind w:firstLine="567"/>
        <w:jc w:val="both"/>
      </w:pPr>
      <w:r>
        <w:t>- </w:t>
      </w:r>
      <w:r>
        <w:rPr>
          <w:i/>
          <w:iCs/>
        </w:rPr>
        <w:t>УЗИ</w:t>
      </w:r>
      <w:r>
        <w:t xml:space="preserve"> позволяет точно диагностировать степень поражения плода при выраженной форме ГБП. При легкой или умеренной степени ГБП характерных ультразвуковы</w:t>
      </w:r>
      <w:r>
        <w:t>х признаков можно не обнаружить:</w:t>
      </w:r>
    </w:p>
    <w:p w:rsidR="00000000" w:rsidRDefault="00BD6C99">
      <w:pPr>
        <w:pStyle w:val="a6"/>
        <w:numPr>
          <w:ilvl w:val="1"/>
          <w:numId w:val="2"/>
        </w:numPr>
        <w:ind w:left="0" w:firstLine="567"/>
        <w:jc w:val="both"/>
      </w:pPr>
      <w:r>
        <w:t>у беременных с титром АТ (1:4, 1:8) бывает достаточным проведение повторного УЗИ для подтверждения удовлетворительного состояния плода (вероятность развития водянки или многоводия невысока).</w:t>
      </w:r>
    </w:p>
    <w:p w:rsidR="00000000" w:rsidRDefault="00BD6C99">
      <w:pPr>
        <w:pStyle w:val="a6"/>
        <w:numPr>
          <w:ilvl w:val="1"/>
          <w:numId w:val="2"/>
        </w:numPr>
        <w:ind w:left="0" w:firstLine="567"/>
        <w:jc w:val="both"/>
      </w:pPr>
      <w:r>
        <w:t>у беременных с более высоким</w:t>
      </w:r>
      <w:r>
        <w:t xml:space="preserve"> титром АТ и сенсибилизированных при предыдущей беременности слежение за состоянием плода состоит в сочетании УЗИ со спектрофотометрией околоплодных вод на </w:t>
      </w:r>
      <w:r>
        <w:t></w:t>
      </w:r>
      <w:r>
        <w:t xml:space="preserve"> OD</w:t>
      </w:r>
      <w:r>
        <w:rPr>
          <w:vertAlign w:val="subscript"/>
        </w:rPr>
        <w:t>450</w:t>
      </w:r>
      <w:r>
        <w:t>. При умеренной или тяжелой форме ГБП может иметь место многоводие, гидроперикард и кардиомег</w:t>
      </w:r>
      <w:r>
        <w:t>алия. При тяжелой форме ГБП УЗИ применяют в динамике для слежения за изменениями в состоянии плода, за нарастанием или исчезновением признаков ГБП.</w:t>
      </w:r>
    </w:p>
    <w:p w:rsidR="00000000" w:rsidRDefault="00BD6C99">
      <w:pPr>
        <w:pStyle w:val="a6"/>
        <w:ind w:firstLine="567"/>
        <w:jc w:val="center"/>
        <w:rPr>
          <w:i/>
          <w:iCs/>
        </w:rPr>
      </w:pPr>
      <w:r>
        <w:rPr>
          <w:i/>
          <w:iCs/>
        </w:rPr>
        <w:t>К ультразвуковым маркерам ГБП относят:</w:t>
      </w:r>
    </w:p>
    <w:p w:rsidR="00000000" w:rsidRDefault="00BD6C99">
      <w:pPr>
        <w:pStyle w:val="a6"/>
        <w:ind w:firstLine="567"/>
        <w:jc w:val="both"/>
      </w:pPr>
      <w:r>
        <w:t xml:space="preserve">- утолщение плаценты до &gt; 50 мм при умеренной или тяжелой форме ГБП. </w:t>
      </w:r>
      <w:r>
        <w:t>структура плаценты - гомогенная;</w:t>
      </w:r>
    </w:p>
    <w:p w:rsidR="00000000" w:rsidRDefault="00BD6C99">
      <w:pPr>
        <w:pStyle w:val="a6"/>
        <w:ind w:firstLine="567"/>
        <w:jc w:val="both"/>
      </w:pPr>
      <w:r>
        <w:t>- многоводие (индекс амниотической жидкости (ИАЖ) &gt; 24) при легкой и умеренной форме ГБП нехарактерно. Сочетание многоводия и водянки говорит о неблагоприятном прогнозе;</w:t>
      </w:r>
    </w:p>
    <w:p w:rsidR="00000000" w:rsidRDefault="00BD6C99">
      <w:pPr>
        <w:pStyle w:val="a6"/>
        <w:ind w:firstLine="567"/>
        <w:jc w:val="both"/>
      </w:pPr>
      <w:r>
        <w:t>- гидроперикард - один из самых ранних признаков ГБП;</w:t>
      </w:r>
    </w:p>
    <w:p w:rsidR="00000000" w:rsidRDefault="00BD6C99">
      <w:pPr>
        <w:pStyle w:val="a6"/>
        <w:ind w:firstLine="567"/>
        <w:jc w:val="both"/>
      </w:pPr>
      <w:r>
        <w:t>- увеличение размеров сердца сопутствует нарастанию сердечной недостаточности при тяжелой форме ГБП. При отношении диаметра сердца к диаметру грудной клетки больше 0,5 правомочен диагноз кардиомегалии;</w:t>
      </w:r>
    </w:p>
    <w:p w:rsidR="00000000" w:rsidRDefault="00BD6C99">
      <w:pPr>
        <w:pStyle w:val="a6"/>
        <w:ind w:firstLine="567"/>
        <w:jc w:val="both"/>
      </w:pPr>
      <w:r>
        <w:t>- обнаружение асцита свидетельствует о наличии выраже</w:t>
      </w:r>
      <w:r>
        <w:t>нной степени ГБП;</w:t>
      </w:r>
    </w:p>
    <w:p w:rsidR="00000000" w:rsidRDefault="00BD6C99">
      <w:pPr>
        <w:pStyle w:val="a6"/>
        <w:ind w:firstLine="567"/>
        <w:jc w:val="both"/>
      </w:pPr>
      <w:r>
        <w:t>- гепатоспленомегалия развивается вследствие усиленного экстрамедуллярного эритропоэза;</w:t>
      </w:r>
    </w:p>
    <w:p w:rsidR="00000000" w:rsidRDefault="00BD6C99">
      <w:pPr>
        <w:pStyle w:val="a6"/>
        <w:ind w:firstLine="567"/>
        <w:jc w:val="both"/>
      </w:pPr>
      <w:r>
        <w:t>- отек подкожно-жировой клетчатки, особенно выраженный на головке плода.</w:t>
      </w:r>
    </w:p>
    <w:p w:rsidR="00000000" w:rsidRDefault="00BD6C99">
      <w:pPr>
        <w:pStyle w:val="a6"/>
        <w:ind w:firstLine="567"/>
        <w:jc w:val="both"/>
      </w:pPr>
      <w:r>
        <w:t>- </w:t>
      </w:r>
      <w:r>
        <w:rPr>
          <w:i/>
          <w:iCs/>
        </w:rPr>
        <w:t>Исследование околоплодных вод</w:t>
      </w:r>
      <w:r>
        <w:t xml:space="preserve"> способствует уточнению степени поражения плод</w:t>
      </w:r>
      <w:r>
        <w:t xml:space="preserve">а. Продуктом распада фетальных эритроцитов является билирубин. Он выделяется почками и легкими плода, попадая в околоплодную среду и пропитывая плодные оболочки. В 1961 году </w:t>
      </w:r>
      <w:r>
        <w:rPr>
          <w:b/>
          <w:bCs/>
        </w:rPr>
        <w:t>Liley</w:t>
      </w:r>
      <w:r>
        <w:t xml:space="preserve"> указал на высокую степень корреляции между уровнем билирубина в околоплодных</w:t>
      </w:r>
      <w:r>
        <w:t xml:space="preserve"> водах и исходом для плода. Полученную при амниоцентезе жидкость исследуют методом спектрофотометрии, определяя степень поглощения на волне 450 нм (</w:t>
      </w:r>
      <w:r>
        <w:t></w:t>
      </w:r>
      <w:r>
        <w:t xml:space="preserve"> OD</w:t>
      </w:r>
      <w:r>
        <w:rPr>
          <w:vertAlign w:val="subscript"/>
        </w:rPr>
        <w:t>450</w:t>
      </w:r>
      <w:r>
        <w:t xml:space="preserve">), сравнивая полученные </w:t>
      </w:r>
      <w:r>
        <w:br/>
        <w:t>результаты с нормативной шкалой Liley. Точность анализа снижается при попада</w:t>
      </w:r>
      <w:r>
        <w:t xml:space="preserve">нии </w:t>
      </w:r>
      <w:r>
        <w:br/>
        <w:t xml:space="preserve">в околоплодные воды мекония или крови. Для устранения этого артефакта применяют </w:t>
      </w:r>
      <w:r>
        <w:br/>
        <w:t>предварительную обработку амниотической жидкости хлороформом. График Liley</w:t>
      </w:r>
      <w:r>
        <w:br/>
        <w:t>довольно информативен при проведении теста после 26 недель беременности.</w:t>
      </w:r>
    </w:p>
    <w:p w:rsidR="00000000" w:rsidRDefault="00BD6C99">
      <w:pPr>
        <w:pStyle w:val="a6"/>
        <w:ind w:firstLine="567"/>
        <w:jc w:val="both"/>
      </w:pPr>
      <w:r>
        <w:t>- Еще более точную инф</w:t>
      </w:r>
      <w:r>
        <w:t xml:space="preserve">ормацию о состоянии плода может дать непосредственное исследование фетальной крови, полученной при </w:t>
      </w:r>
      <w:r>
        <w:rPr>
          <w:i/>
          <w:iCs/>
          <w:color w:val="FF0000"/>
        </w:rPr>
        <w:t>кордоцентезе</w:t>
      </w:r>
      <w:r>
        <w:t>. Это позволяет, в частности, определить Rh принадлежность крови плода. Если плод оказывается D(-), дальнейшее проведение комплексного исследован</w:t>
      </w:r>
      <w:r>
        <w:t xml:space="preserve">ия не требуется. Еще более перспективным является применение метода </w:t>
      </w:r>
      <w:r>
        <w:rPr>
          <w:i/>
          <w:iCs/>
        </w:rPr>
        <w:t>полимеразной цепной реакции (ПЦР)</w:t>
      </w:r>
      <w:r>
        <w:rPr>
          <w:b/>
          <w:bCs/>
        </w:rPr>
        <w:t xml:space="preserve"> </w:t>
      </w:r>
      <w:r>
        <w:t>с той же целью - определение Rh (D) статуса плода, т.к. отпадает необходимость проводить такое сложное и потенциально опасное исследование как кордоцентез</w:t>
      </w:r>
      <w:r>
        <w:t>.</w:t>
      </w:r>
    </w:p>
    <w:p w:rsidR="00000000" w:rsidRDefault="00BD6C99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ДИФФЕРЕНЦИАЛЬНЫЙ ДИАГНОЗ</w:t>
      </w:r>
    </w:p>
    <w:p w:rsidR="00000000" w:rsidRDefault="00BD6C99">
      <w:pPr>
        <w:pStyle w:val="a6"/>
        <w:ind w:firstLine="567"/>
        <w:jc w:val="both"/>
      </w:pPr>
      <w:r>
        <w:t xml:space="preserve">При выявлении водянки плода при проведении УЗИ, можно предположить ГБП вследствие D-изоиммунизации, или вследствие некоторых других причин. При отсутствии АТ к эритроцитарным АГ применяют термин </w:t>
      </w:r>
      <w:r>
        <w:rPr>
          <w:b/>
          <w:bCs/>
          <w:i/>
          <w:iCs/>
          <w:color w:val="FF0000"/>
        </w:rPr>
        <w:t xml:space="preserve">неиммунная водянка плода </w:t>
      </w:r>
      <w:r>
        <w:rPr>
          <w:i/>
          <w:iCs/>
          <w:color w:val="FF0000"/>
        </w:rPr>
        <w:t>(</w:t>
      </w:r>
      <w:r>
        <w:rPr>
          <w:b/>
          <w:bCs/>
          <w:i/>
          <w:iCs/>
          <w:color w:val="FF0000"/>
        </w:rPr>
        <w:t>НИВП</w:t>
      </w:r>
      <w:r>
        <w:rPr>
          <w:i/>
          <w:iCs/>
          <w:color w:val="FF0000"/>
        </w:rPr>
        <w:t>)</w:t>
      </w:r>
      <w:r>
        <w:t>. Ч</w:t>
      </w:r>
      <w:r>
        <w:t>астота НИВП составляет 1:2500-3500 родов. В 25 % случаев причины НИВП - хромосомные аномалии плода, в 18 % всех случаев - множественные пороки развития плода (чаще всего пороки сердца). Сердечная аритмия у плода (например, суправентрикулярная аритмия) такж</w:t>
      </w:r>
      <w:r>
        <w:t>е может служить причиной НИВП.</w:t>
      </w:r>
    </w:p>
    <w:p w:rsidR="00000000" w:rsidRDefault="00BD6C99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ТАКТИКА ВЕДЕНИЯ</w:t>
      </w:r>
    </w:p>
    <w:p w:rsidR="00000000" w:rsidRDefault="00BD6C99">
      <w:pPr>
        <w:pStyle w:val="a6"/>
        <w:ind w:firstLine="567"/>
        <w:jc w:val="both"/>
      </w:pPr>
      <w:r>
        <w:t xml:space="preserve">У беременной с не осложненным акушерским анамнезом и титром АТ &gt; 1:16, выявленным до 26 недель беременности, показан амниоцентез с последующей спектрофотометрией. Если </w:t>
      </w:r>
      <w:r>
        <w:t></w:t>
      </w:r>
      <w:r>
        <w:t xml:space="preserve"> OD</w:t>
      </w:r>
      <w:r>
        <w:rPr>
          <w:vertAlign w:val="subscript"/>
        </w:rPr>
        <w:t>450</w:t>
      </w:r>
      <w:r>
        <w:t xml:space="preserve"> соответствует </w:t>
      </w:r>
      <w:r>
        <w:rPr>
          <w:i/>
          <w:iCs/>
        </w:rPr>
        <w:t>I зоне</w:t>
      </w:r>
      <w:r>
        <w:t xml:space="preserve"> по Liley, эт</w:t>
      </w:r>
      <w:r>
        <w:t xml:space="preserve">о свидетельствует о том, что плод или Rh(-) или имеется слабая степень ГБП. Уровень </w:t>
      </w:r>
      <w:r>
        <w:t></w:t>
      </w:r>
      <w:r>
        <w:t xml:space="preserve"> OD</w:t>
      </w:r>
      <w:r>
        <w:rPr>
          <w:vertAlign w:val="subscript"/>
        </w:rPr>
        <w:t>450</w:t>
      </w:r>
      <w:r>
        <w:t xml:space="preserve"> , соответствующий середине </w:t>
      </w:r>
      <w:r>
        <w:rPr>
          <w:i/>
          <w:iCs/>
        </w:rPr>
        <w:t>II зоны</w:t>
      </w:r>
      <w:r>
        <w:rPr>
          <w:b/>
          <w:bCs/>
        </w:rPr>
        <w:t xml:space="preserve"> </w:t>
      </w:r>
      <w:r>
        <w:t>по Liley, указывает на вероятность средней или тяжелой формы ГБП. В этой ситуации обычно показано досрочное родоразрешение. Оконч</w:t>
      </w:r>
      <w:r>
        <w:t>ательное решение принимают после определения зрелости легких плода, "биофизического профиля", проведения КТГ, получения данных о нарастании уровня билирубина, учета данных акушерского анамнеза, определения состояния шейки матки по шкале Бишопа (Хечинашвили</w:t>
      </w:r>
      <w:r>
        <w:t xml:space="preserve">). При </w:t>
      </w:r>
      <w:r>
        <w:t></w:t>
      </w:r>
      <w:r>
        <w:t xml:space="preserve"> OD</w:t>
      </w:r>
      <w:r>
        <w:rPr>
          <w:vertAlign w:val="subscript"/>
        </w:rPr>
        <w:t>450</w:t>
      </w:r>
      <w:r>
        <w:t xml:space="preserve"> = верхней части II зоны требуется проведение кордоцентеза или повторный амниоцентез через одну неделю. При </w:t>
      </w:r>
      <w:r>
        <w:t></w:t>
      </w:r>
      <w:r>
        <w:t xml:space="preserve"> OD</w:t>
      </w:r>
      <w:r>
        <w:rPr>
          <w:vertAlign w:val="subscript"/>
        </w:rPr>
        <w:t>450</w:t>
      </w:r>
      <w:r>
        <w:t xml:space="preserve"> = III зоне или выявлении водянки плода при УЗИ требуется или экстренное родоразрешение или внутриматочная гемотрансфузия плоду</w:t>
      </w:r>
      <w:r>
        <w:t>. План ведения зависит от срока беременности, состояния плода и уровня неонатальной службы в данном учреждении.</w:t>
      </w:r>
    </w:p>
    <w:p w:rsidR="00000000" w:rsidRDefault="00BD6C99">
      <w:pPr>
        <w:pStyle w:val="a6"/>
        <w:ind w:firstLine="567"/>
        <w:jc w:val="both"/>
      </w:pPr>
      <w:r>
        <w:t>У пациентки с отягощенным акушерским анамнезом или титром АТ &gt; 1:16 в сроке до 26 недель - требуется УЗИ. Для решения вопроса о дальнейшем веден</w:t>
      </w:r>
      <w:r>
        <w:t>ии беременности - консультация перинатолога. При выявлении тяжелого поражения плода показан кордоцентез для определения Ht и антигенного статуса плода, особенно, если отец гетерозиготен по данному АГ. При выявлении анемии может быть проведена внутриматочна</w:t>
      </w:r>
      <w:r>
        <w:t>я интраваскулярная гемотрансфузия плоду уже при первичном кордоцентезе. При отсутствии анемии дальнейшая тактика ведения беременности будет зависеть от акушерского анамнеза и данных УЗИ.</w:t>
      </w:r>
    </w:p>
    <w:p w:rsidR="00000000" w:rsidRDefault="00BD6C99">
      <w:pPr>
        <w:pStyle w:val="a6"/>
        <w:ind w:firstLine="567"/>
        <w:jc w:val="both"/>
      </w:pPr>
      <w:r>
        <w:t>При выраженной анемии, выявленной во II и III триместрах беременности</w:t>
      </w:r>
      <w:r>
        <w:t xml:space="preserve">, показана внутриматочная гемотрансфузия. Интраперитонеальная или интраваскулярная трансфузии может понадобиться даже в 18 недель беременности. Применение интраваскулярной трансфузии значительно повысило уровень выживаемости у тяжело пораженных плодов (до </w:t>
      </w:r>
      <w:r>
        <w:t>86,1 %).</w:t>
      </w:r>
    </w:p>
    <w:p w:rsidR="00000000" w:rsidRDefault="00BD6C99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ПРОФИЛАКТИКА D-ИЗОИММУНИЗАЦИИ</w:t>
      </w:r>
    </w:p>
    <w:p w:rsidR="00000000" w:rsidRDefault="00BD6C99">
      <w:pPr>
        <w:pStyle w:val="a6"/>
        <w:ind w:firstLine="567"/>
        <w:jc w:val="both"/>
      </w:pPr>
      <w:r>
        <w:t>-</w:t>
      </w:r>
      <w:r>
        <w:rPr>
          <w:b/>
          <w:bCs/>
        </w:rPr>
        <w:t> </w:t>
      </w:r>
      <w:r>
        <w:t>Для снижения перинатальной заболеваемости и смертности от ГБП следует выделять среди беременных группу риска и правильно осуществлять программу по анти-D-профилактике.</w:t>
      </w:r>
    </w:p>
    <w:p w:rsidR="00000000" w:rsidRDefault="00BD6C99">
      <w:pPr>
        <w:pStyle w:val="a6"/>
        <w:ind w:firstLine="567"/>
        <w:jc w:val="both"/>
      </w:pPr>
      <w:r>
        <w:t>-</w:t>
      </w:r>
      <w:r>
        <w:rPr>
          <w:b/>
          <w:bCs/>
        </w:rPr>
        <w:t> </w:t>
      </w:r>
      <w:r>
        <w:t>При каждой беременности следует пренатально о</w:t>
      </w:r>
      <w:r>
        <w:t>пределять АВО и Rh принадлежность. У D(-) беременных с отрицательным тестом на АТ скрининговое исследование на АТ повторяют в 28 недель беременности. Беременным с отрицательным тестом на АТ в 28 недель показано плановое назначение D Ig.</w:t>
      </w:r>
    </w:p>
    <w:p w:rsidR="00000000" w:rsidRDefault="00BD6C99">
      <w:pPr>
        <w:pStyle w:val="a6"/>
        <w:ind w:firstLine="567"/>
        <w:jc w:val="both"/>
      </w:pPr>
      <w:r>
        <w:t>- После абортов (ис</w:t>
      </w:r>
      <w:r>
        <w:t>кусственных и самопроизвольных) и внематочной беременности вероятность D-сенсибилизации составляет в среднем 4 - 5 %. Необходимая доза D Ig до 13 недель составляет 50 мг, а при более поздних сроках - 300 мг. Иммуноглобулин следует ввести в первые 72 часа п</w:t>
      </w:r>
      <w:r>
        <w:t>осле предполагаемого плодово-материнского кровотечения.</w:t>
      </w:r>
    </w:p>
    <w:p w:rsidR="00000000" w:rsidRDefault="00BD6C99">
      <w:pPr>
        <w:pStyle w:val="a6"/>
        <w:ind w:firstLine="567"/>
        <w:jc w:val="both"/>
      </w:pPr>
      <w:r>
        <w:t>- Биопсия ворсин хориона может стать причиной материнско-плодового кровотечения, поэтому при этом также показано назначение 50 мг D Ig.</w:t>
      </w:r>
    </w:p>
    <w:p w:rsidR="00000000" w:rsidRDefault="00BD6C99">
      <w:pPr>
        <w:pStyle w:val="a6"/>
        <w:ind w:firstLine="567"/>
        <w:jc w:val="both"/>
      </w:pPr>
      <w:r>
        <w:t>-</w:t>
      </w:r>
      <w:r>
        <w:rPr>
          <w:b/>
          <w:bCs/>
        </w:rPr>
        <w:t> </w:t>
      </w:r>
      <w:r>
        <w:t>Амниоцентез также может стать причиной D-сенсибилизации. При е</w:t>
      </w:r>
      <w:r>
        <w:t>го проведении у D(-) несенсибилизированных беременных применяют стандартную дозу D Ig (300 мг), если перед этим D-профилактика не проводилась. Но это не исключает необходимость проводить послеродовую профилактику. Если родоразрешение предполагают в ближайш</w:t>
      </w:r>
      <w:r>
        <w:t>ие 48 часов после амниоцентеза, профилактику можно провести после родов, т.е. после определения Rh принадлежности новорожденного. При рождении Rh(+) ребенка в первые 21 день от введения D Ig у родильницы следует провести непрямую реакцию Кумбса. Положитель</w:t>
      </w:r>
      <w:r>
        <w:t>ный тест говорит о достаточном количестве АТ в кровеносном русле. Если тест отрицательный и если в родах предполагалось массивное плодово-материнское кровотечение, следует вводить дополнительную дозу D Ig. Иногда у новорожденного может быть положительная п</w:t>
      </w:r>
      <w:r>
        <w:t>рямая реакция Кумбса из-за трансплацентарного проникновения Rh Ig.</w:t>
      </w:r>
    </w:p>
    <w:p w:rsidR="00000000" w:rsidRDefault="00BD6C99">
      <w:pPr>
        <w:pStyle w:val="a6"/>
        <w:ind w:firstLine="567"/>
        <w:jc w:val="both"/>
      </w:pPr>
      <w:r>
        <w:t>-</w:t>
      </w:r>
      <w:r>
        <w:rPr>
          <w:b/>
          <w:bCs/>
        </w:rPr>
        <w:t> </w:t>
      </w:r>
      <w:r>
        <w:t>При кордоцентезе у D(-) несенсибилизированной беременной следует определить Rh принадлежность плода. Если плод D(+) или определить Rh принадлежность не удалось, матери вводят 300 мг D Ig.</w:t>
      </w:r>
    </w:p>
    <w:p w:rsidR="00000000" w:rsidRDefault="00BD6C99">
      <w:pPr>
        <w:pStyle w:val="a6"/>
        <w:ind w:firstLine="567"/>
        <w:jc w:val="both"/>
      </w:pPr>
      <w:r>
        <w:t>-</w:t>
      </w:r>
      <w:r>
        <w:rPr>
          <w:b/>
          <w:bCs/>
        </w:rPr>
        <w:t> </w:t>
      </w:r>
      <w:r>
        <w:t xml:space="preserve">При маточном кровотечении у D(-) несенсибилизированной беременной необходимо введение D Ig. Для определения величины плодово-материнского кровотечения проводят пробу Kleihauer-Betke или Rosette. Если в кровяное русло матери попало более 15 мл фетальных </w:t>
      </w:r>
      <w:r>
        <w:t>эритроцитов, требуется введение дополнительного количества D Ig. Показано проведение непрямой реакции Кумбса спустя 72 часа после введения Ig для выявления свободного D Ig. 20 мг D Ig нейтрализуют примерно 1 мл D(+) эритроцитов (т.е. 300 мг D Ig достаточно</w:t>
      </w:r>
      <w:r>
        <w:t xml:space="preserve"> для нейтрализации 15 мл плодовых эритроцитов). </w:t>
      </w:r>
      <w:r>
        <w:rPr>
          <w:i/>
          <w:iCs/>
        </w:rPr>
        <w:t>Показания к проведению теста</w:t>
      </w:r>
      <w:r>
        <w:t>:</w:t>
      </w:r>
    </w:p>
    <w:p w:rsidR="00000000" w:rsidRDefault="00BD6C99">
      <w:pPr>
        <w:pStyle w:val="a6"/>
        <w:numPr>
          <w:ilvl w:val="1"/>
          <w:numId w:val="3"/>
        </w:numPr>
        <w:ind w:left="0" w:firstLine="567"/>
        <w:jc w:val="both"/>
      </w:pPr>
      <w:r>
        <w:t>отслойка плаценты;</w:t>
      </w:r>
    </w:p>
    <w:p w:rsidR="00000000" w:rsidRDefault="00BD6C99">
      <w:pPr>
        <w:pStyle w:val="a6"/>
        <w:numPr>
          <w:ilvl w:val="1"/>
          <w:numId w:val="3"/>
        </w:numPr>
        <w:ind w:left="0" w:firstLine="567"/>
        <w:jc w:val="both"/>
      </w:pPr>
      <w:r>
        <w:t>предлежание плаценты;</w:t>
      </w:r>
    </w:p>
    <w:p w:rsidR="00000000" w:rsidRDefault="00BD6C99">
      <w:pPr>
        <w:pStyle w:val="a6"/>
        <w:numPr>
          <w:ilvl w:val="1"/>
          <w:numId w:val="3"/>
        </w:numPr>
        <w:ind w:left="0" w:firstLine="567"/>
        <w:jc w:val="both"/>
      </w:pPr>
      <w:r>
        <w:t>внутриматочные вмешательства (например, родоразрешение второго плода при многоплодии);</w:t>
      </w:r>
    </w:p>
    <w:p w:rsidR="00000000" w:rsidRDefault="00BD6C99">
      <w:pPr>
        <w:pStyle w:val="a6"/>
        <w:numPr>
          <w:ilvl w:val="1"/>
          <w:numId w:val="3"/>
        </w:numPr>
        <w:ind w:left="0" w:firstLine="567"/>
        <w:jc w:val="both"/>
      </w:pPr>
      <w:r>
        <w:t>ручное отделение плаценты.</w:t>
      </w:r>
    </w:p>
    <w:p w:rsidR="00000000" w:rsidRDefault="00BD6C99">
      <w:pPr>
        <w:pStyle w:val="a6"/>
        <w:ind w:firstLine="567"/>
        <w:jc w:val="both"/>
      </w:pPr>
      <w:r>
        <w:t>Самой частой пр</w:t>
      </w:r>
      <w:r>
        <w:t>ичиной D-изоиммунизации являются сами роды. При рождении D(+) или D</w:t>
      </w:r>
      <w:r>
        <w:rPr>
          <w:vertAlign w:val="superscript"/>
        </w:rPr>
        <w:t>U</w:t>
      </w:r>
      <w:r>
        <w:t>(+) плода у D(-) несенсибилизированной женщины требуется назначение D Ig. Если Rh принадлежность матери впервые определяют только в родах, то при попадании фетальных эритроцитов в кровяное</w:t>
      </w:r>
      <w:r>
        <w:t xml:space="preserve"> русло матери можно ошибочно определить Rh принадлежность как D</w:t>
      </w:r>
      <w:r>
        <w:rPr>
          <w:vertAlign w:val="superscript"/>
        </w:rPr>
        <w:t>U</w:t>
      </w:r>
      <w:r>
        <w:t>(+). Таким женщинам следует назначать D Ig.</w:t>
      </w:r>
    </w:p>
    <w:p w:rsidR="00000000" w:rsidRDefault="00BD6C99">
      <w:pPr>
        <w:pStyle w:val="a6"/>
        <w:ind w:firstLine="567"/>
        <w:jc w:val="both"/>
      </w:pPr>
      <w:r>
        <w:t>-</w:t>
      </w:r>
      <w:r>
        <w:rPr>
          <w:b/>
          <w:bCs/>
        </w:rPr>
        <w:t> </w:t>
      </w:r>
      <w:r>
        <w:t>При гемотрансфузиях следует всегда проверять донорскую кровь на D статус. D-АГ встречается только на мембране эритроцитов, поэтому теоретически пе</w:t>
      </w:r>
      <w:r>
        <w:t>реливание плазмы не может вызывать D-иммунизацию. Однако, тромбоциты и гранулоциты теоретически могут содержать примесь эритроцитов. Если, по ошибке, все же введен D-АГ, следует помнить, что для блокирования 1 мл D(+) эритромассы требуется 20 мл D Ig.</w:t>
      </w:r>
    </w:p>
    <w:p w:rsidR="00000000" w:rsidRDefault="00BD6C99">
      <w:pPr>
        <w:pStyle w:val="a6"/>
        <w:ind w:firstLine="567"/>
        <w:jc w:val="both"/>
      </w:pPr>
      <w:r>
        <w:t>-</w:t>
      </w:r>
      <w:r>
        <w:rPr>
          <w:b/>
          <w:bCs/>
        </w:rPr>
        <w:t> </w:t>
      </w:r>
      <w:r>
        <w:t>Ри</w:t>
      </w:r>
      <w:r>
        <w:t>ск ВИЧ-инфицирования при введении D Ig ничтожен, т.к. с 1985 года все продукты, приготовленные из крови, проверяют на ВИЧ антиген. Процесс, применяемый при приготовлении D Ig, надежно элиминирует ВИЧ антиген.</w:t>
      </w:r>
    </w:p>
    <w:p w:rsidR="00000000" w:rsidRDefault="00BD6C99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Контрольные вопросы:</w:t>
      </w:r>
    </w:p>
    <w:p w:rsidR="00000000" w:rsidRDefault="00BD6C99">
      <w:pPr>
        <w:pStyle w:val="a6"/>
        <w:ind w:left="1440" w:firstLine="567"/>
        <w:jc w:val="both"/>
      </w:pPr>
      <w:r>
        <w:t xml:space="preserve">1. Связь меду гемолизом и </w:t>
      </w:r>
      <w:r>
        <w:t>билирубинемией.</w:t>
      </w:r>
    </w:p>
    <w:p w:rsidR="00000000" w:rsidRDefault="00BD6C99">
      <w:pPr>
        <w:pStyle w:val="a6"/>
        <w:ind w:left="1440" w:firstLine="567"/>
        <w:jc w:val="both"/>
      </w:pPr>
      <w:r>
        <w:t>2. Что необходимо иметь для определения группы крови?</w:t>
      </w:r>
    </w:p>
    <w:p w:rsidR="00000000" w:rsidRDefault="00BD6C99">
      <w:pPr>
        <w:pStyle w:val="a6"/>
        <w:ind w:left="1440" w:firstLine="567"/>
        <w:jc w:val="both"/>
      </w:pPr>
      <w:r>
        <w:t>3. Где происходит обезвреживание непрямого билирубина, и каким образом?</w:t>
      </w:r>
    </w:p>
    <w:p w:rsidR="00000000" w:rsidRDefault="00BD6C99">
      <w:pPr>
        <w:pStyle w:val="a6"/>
        <w:ind w:left="1440" w:firstLine="567"/>
        <w:jc w:val="both"/>
      </w:pPr>
      <w:r>
        <w:t>4. Может быть у ребенка 0(I) группа крови если у отца и матери ребенка В(III) группа крови?</w:t>
      </w:r>
    </w:p>
    <w:p w:rsidR="00000000" w:rsidRDefault="00BD6C99">
      <w:pPr>
        <w:pStyle w:val="a6"/>
        <w:ind w:left="1440" w:firstLine="567"/>
        <w:jc w:val="both"/>
      </w:pPr>
      <w:r>
        <w:t>5. В чем разница между</w:t>
      </w:r>
      <w:r>
        <w:t xml:space="preserve"> гемосорбцией и плазмаферезом?</w:t>
      </w:r>
    </w:p>
    <w:p w:rsidR="00000000" w:rsidRDefault="00BD6C99">
      <w:pPr>
        <w:pStyle w:val="a6"/>
        <w:ind w:left="1440" w:firstLine="567"/>
        <w:jc w:val="both"/>
      </w:pPr>
      <w:r>
        <w:t>6. Чем можно объяснить физиологическую желтуху у новорожденного?</w:t>
      </w:r>
    </w:p>
    <w:p w:rsidR="00000000" w:rsidRDefault="00BD6C99">
      <w:pPr>
        <w:pStyle w:val="a6"/>
        <w:ind w:left="1440" w:firstLine="567"/>
        <w:jc w:val="both"/>
      </w:pPr>
      <w:r>
        <w:t>7. Три формы гемолитической болезни новорожденного.</w:t>
      </w:r>
    </w:p>
    <w:p w:rsidR="00000000" w:rsidRDefault="00BD6C99">
      <w:pPr>
        <w:pStyle w:val="a6"/>
        <w:ind w:left="1440" w:firstLine="567"/>
        <w:jc w:val="both"/>
      </w:pPr>
      <w:r>
        <w:t>8. Что можно сказать о группе крови человека, если агглютинация произошла во всех четырех стандартных сыворо</w:t>
      </w:r>
      <w:r>
        <w:t>тках (по системе АВ0).</w:t>
      </w:r>
    </w:p>
    <w:p w:rsidR="00000000" w:rsidRDefault="00BD6C99">
      <w:pPr>
        <w:pStyle w:val="a6"/>
        <w:ind w:left="1440" w:firstLine="567"/>
        <w:jc w:val="both"/>
      </w:pPr>
      <w:r>
        <w:t>9. На чем основана проба Клейхауэра-Бетке?</w:t>
      </w:r>
    </w:p>
    <w:p w:rsidR="00000000" w:rsidRDefault="00BD6C99">
      <w:pPr>
        <w:pStyle w:val="a6"/>
        <w:ind w:left="1440" w:firstLine="567"/>
        <w:jc w:val="both"/>
      </w:pPr>
      <w:r>
        <w:t>10. Почему иммуноглобулин класса G может проникать через плаценту?</w:t>
      </w:r>
    </w:p>
    <w:p w:rsidR="00000000" w:rsidRDefault="00BD6C99">
      <w:pPr>
        <w:pStyle w:val="a6"/>
        <w:ind w:left="1440" w:firstLine="567"/>
        <w:jc w:val="both"/>
      </w:pPr>
      <w:r>
        <w:t>11. Какова цель внутриутробной гемотрансфузии плоду?</w:t>
      </w:r>
    </w:p>
    <w:p w:rsidR="00000000" w:rsidRDefault="00BD6C99">
      <w:pPr>
        <w:pStyle w:val="a6"/>
        <w:ind w:left="1440" w:firstLine="567"/>
        <w:jc w:val="both"/>
      </w:pPr>
      <w:r>
        <w:t>12. Кому, когда, как и с какой целью вводят анти D Rh</w:t>
      </w:r>
      <w:r>
        <w:rPr>
          <w:vertAlign w:val="subscript"/>
        </w:rPr>
        <w:t>o</w:t>
      </w:r>
      <w:r>
        <w:t xml:space="preserve"> иммуноглобулин?</w:t>
      </w:r>
    </w:p>
    <w:p w:rsidR="00000000" w:rsidRDefault="00BD6C99">
      <w:pPr>
        <w:pStyle w:val="a6"/>
        <w:ind w:left="1440" w:firstLine="567"/>
        <w:jc w:val="both"/>
      </w:pPr>
      <w:r>
        <w:t>13. Какую дозу анти D Rh</w:t>
      </w:r>
      <w:r>
        <w:rPr>
          <w:vertAlign w:val="subscript"/>
        </w:rPr>
        <w:t xml:space="preserve">o </w:t>
      </w:r>
      <w:r>
        <w:t>иммуноглобулина следует применить при попадании в кровоток матери 20 мл крови плода?</w:t>
      </w:r>
    </w:p>
    <w:p w:rsidR="00000000" w:rsidRDefault="00BD6C99">
      <w:pPr>
        <w:pStyle w:val="a6"/>
        <w:ind w:left="1440" w:firstLine="567"/>
        <w:jc w:val="both"/>
      </w:pPr>
      <w:r>
        <w:t>14. Является ли постнатальная профилактика 100% эффективной? Если нет, то почему?</w:t>
      </w:r>
    </w:p>
    <w:p w:rsidR="00000000" w:rsidRDefault="00BD6C99">
      <w:pPr>
        <w:pStyle w:val="a6"/>
        <w:ind w:left="1440" w:firstLine="567"/>
        <w:jc w:val="both"/>
      </w:pPr>
      <w:r>
        <w:t>15. С какого срока беременности при аборте необходимо проводит</w:t>
      </w:r>
      <w:r>
        <w:t>ь Rh-профилактику?</w:t>
      </w:r>
    </w:p>
    <w:p w:rsidR="00000000" w:rsidRDefault="00BD6C99">
      <w:pPr>
        <w:pStyle w:val="a6"/>
        <w:ind w:left="1440" w:firstLine="567"/>
        <w:jc w:val="both"/>
      </w:pPr>
      <w:r>
        <w:t>16. При каком способе искусственного прерывания беременности больше вероятность иммунизации (при кюретаже или вакуумэкскохлеации)?</w:t>
      </w:r>
    </w:p>
    <w:p w:rsidR="00000000" w:rsidRDefault="00BD6C99">
      <w:pPr>
        <w:pStyle w:val="a6"/>
        <w:ind w:left="1440" w:firstLine="567"/>
        <w:jc w:val="both"/>
      </w:pPr>
      <w:r>
        <w:t>17. Объясните термин "ядерная желтуха".</w:t>
      </w:r>
    </w:p>
    <w:p w:rsidR="00000000" w:rsidRDefault="00BD6C99">
      <w:pPr>
        <w:pStyle w:val="a6"/>
        <w:ind w:left="1440" w:firstLine="567"/>
        <w:jc w:val="both"/>
      </w:pPr>
      <w:r>
        <w:t>18. Кровь какой группы можно применять для внутриутробной трансфуз</w:t>
      </w:r>
      <w:r>
        <w:t>ии плоду при Rh-конфликте?</w:t>
      </w:r>
    </w:p>
    <w:p w:rsidR="00000000" w:rsidRDefault="00BD6C99">
      <w:pPr>
        <w:pStyle w:val="a6"/>
        <w:ind w:left="1440" w:firstLine="567"/>
        <w:jc w:val="both"/>
      </w:pPr>
      <w:r>
        <w:t>19. На чем основан эффект фототерапии?</w:t>
      </w:r>
    </w:p>
    <w:p w:rsidR="00000000" w:rsidRDefault="00BD6C99">
      <w:pPr>
        <w:pStyle w:val="a6"/>
        <w:ind w:left="1440" w:firstLine="567"/>
        <w:jc w:val="both"/>
      </w:pPr>
      <w:r>
        <w:t>20. Смысл применения фенобарбитала или зиксорина при ГБН?</w:t>
      </w:r>
    </w:p>
    <w:p w:rsidR="00000000" w:rsidRDefault="00BD6C99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Задача № 1</w:t>
      </w:r>
    </w:p>
    <w:p w:rsidR="00000000" w:rsidRDefault="00BD6C99">
      <w:pPr>
        <w:pStyle w:val="a6"/>
        <w:ind w:firstLine="567"/>
        <w:jc w:val="both"/>
      </w:pPr>
      <w:r>
        <w:t>Первобеременная 24 лет обратилась в женскую консультацию при сроке беременности 12 недель. Группа крови - А(II), Rh (-) (</w:t>
      </w:r>
      <w:r>
        <w:t>паспортные данные).</w:t>
      </w:r>
    </w:p>
    <w:p w:rsidR="00000000" w:rsidRDefault="00BD6C99">
      <w:pPr>
        <w:pStyle w:val="a6"/>
        <w:ind w:firstLine="567"/>
        <w:jc w:val="both"/>
      </w:pPr>
      <w:r>
        <w:t>Обследование? Тактика врача?</w:t>
      </w:r>
    </w:p>
    <w:p w:rsidR="00000000" w:rsidRDefault="00BD6C99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Задача № 2</w:t>
      </w:r>
    </w:p>
    <w:p w:rsidR="00000000" w:rsidRDefault="00BD6C99">
      <w:pPr>
        <w:pStyle w:val="a6"/>
        <w:ind w:firstLine="567"/>
        <w:jc w:val="both"/>
      </w:pPr>
      <w:r>
        <w:t>Повторнобеременная 32 лет направлена в отделение патологии беременных с диагнозом: беременность 35-36 недель. Резус-конфликтная беременность (титр АТ 1:32).</w:t>
      </w:r>
    </w:p>
    <w:p w:rsidR="00BD6C99" w:rsidRDefault="00BD6C99">
      <w:pPr>
        <w:pStyle w:val="a6"/>
        <w:ind w:firstLine="567"/>
        <w:jc w:val="both"/>
      </w:pPr>
      <w:r>
        <w:t>Тактика врачей стационара?</w:t>
      </w:r>
    </w:p>
    <w:sectPr w:rsidR="00BD6C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64D5"/>
    <w:multiLevelType w:val="multilevel"/>
    <w:tmpl w:val="F51A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5C34052F"/>
    <w:multiLevelType w:val="multilevel"/>
    <w:tmpl w:val="1456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696D4F7B"/>
    <w:multiLevelType w:val="multilevel"/>
    <w:tmpl w:val="C6F2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D9"/>
    <w:rsid w:val="00BD6C99"/>
    <w:rsid w:val="00C2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9C1359-62AE-4F74-AF5C-1819B96C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800080"/>
      <w:u w:val="single"/>
    </w:rPr>
  </w:style>
  <w:style w:type="paragraph" w:styleId="a6">
    <w:name w:val="Normal (Web)"/>
    <w:basedOn w:val="a"/>
    <w:uiPriority w:val="99"/>
    <w:pPr>
      <w:spacing w:before="100" w:after="100"/>
    </w:pPr>
  </w:style>
  <w:style w:type="paragraph" w:styleId="a7">
    <w:name w:val="Document Map"/>
    <w:basedOn w:val="a"/>
    <w:link w:val="a8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file:///C:\Documents%20and%20Settings\Administrator.IVKOKO\Desktop\image18.jpg" TargetMode="Externa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3416</Words>
  <Characters>19472</Characters>
  <Application>Microsoft Office Word</Application>
  <DocSecurity>0</DocSecurity>
  <Lines>162</Lines>
  <Paragraphs>45</Paragraphs>
  <ScaleCrop>false</ScaleCrop>
  <Company>МИР ЗДОРОВЬЯ</Company>
  <LinksUpToDate>false</LinksUpToDate>
  <CharactersWithSpaces>22843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тема№23</dc:title>
  <dc:subject/>
  <dc:creator>Иван Кокоткин</dc:creator>
  <cp:keywords/>
  <dc:description/>
  <cp:lastModifiedBy>Igor Trofimov</cp:lastModifiedBy>
  <cp:revision>2</cp:revision>
  <dcterms:created xsi:type="dcterms:W3CDTF">2024-10-06T22:18:00Z</dcterms:created>
  <dcterms:modified xsi:type="dcterms:W3CDTF">2024-10-06T22:18:00Z</dcterms:modified>
</cp:coreProperties>
</file>