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D" w:rsidRDefault="00194CED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194CED" w:rsidRDefault="00194CED">
      <w:pPr>
        <w:ind w:left="567"/>
        <w:jc w:val="both"/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Паспортная часть</w:t>
      </w:r>
      <w:r>
        <w:rPr>
          <w:sz w:val="24"/>
          <w:szCs w:val="24"/>
        </w:rPr>
        <w:t>.</w:t>
      </w:r>
    </w:p>
    <w:p w:rsidR="00194CED" w:rsidRDefault="00194CE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194CED" w:rsidRDefault="00194CE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Возраст: 69 лет</w:t>
      </w:r>
    </w:p>
    <w:p w:rsidR="00194CED" w:rsidRDefault="00194CE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:rsidR="00194CED" w:rsidRDefault="00194CE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пенсионер</w:t>
      </w:r>
    </w:p>
    <w:p w:rsidR="00194CED" w:rsidRDefault="00194CE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 Москва </w:t>
      </w:r>
    </w:p>
    <w:p w:rsidR="00194CED" w:rsidRDefault="00194CE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клинику: 21.10.2000 г</w:t>
      </w:r>
    </w:p>
    <w:p w:rsidR="00194CED" w:rsidRDefault="00194CE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Дата курации: 14.11.2000 г.</w:t>
      </w:r>
    </w:p>
    <w:p w:rsidR="00194CED" w:rsidRDefault="00194CED">
      <w:pPr>
        <w:pStyle w:val="2"/>
      </w:pPr>
      <w:r>
        <w:t>Жалобы</w:t>
      </w: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 на момент курации</w:t>
      </w:r>
      <w:r>
        <w:rPr>
          <w:sz w:val="28"/>
          <w:szCs w:val="28"/>
        </w:rPr>
        <w:t>: на боли  за грудиной и в области сердца сж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мающего характера, и иррадиирующие в левое плечо, руку, под лопатку,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в область ключицы, возникающие без четкой связи с  физической нагру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кой,  иногда ночью. Боли сопровождаются головокружением, потливостью,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труднение дыхания преимущественно на вдохе. Боли купируются приемом нитроглицерина  под язык. Головную боль (в висках, тяжесть в затылке).</w:t>
      </w:r>
    </w:p>
    <w:p w:rsidR="00194CED" w:rsidRDefault="00194CED">
      <w:pPr>
        <w:ind w:left="709"/>
        <w:jc w:val="both"/>
        <w:rPr>
          <w:sz w:val="28"/>
          <w:szCs w:val="28"/>
        </w:rPr>
      </w:pPr>
    </w:p>
    <w:p w:rsidR="00194CED" w:rsidRDefault="00194CE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 на момент поступления:</w:t>
      </w:r>
      <w:r>
        <w:rPr>
          <w:sz w:val="28"/>
          <w:szCs w:val="28"/>
        </w:rPr>
        <w:t xml:space="preserve"> на боли за грудиной, и в области сердца сжимающего характера, и иррадиирующие в левое плечо и руку, левую лопа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ку, нижнюю челюсть, возникающие в покое, а в последнее время ( 3-4 мес.) ночью; на перебои в работе сердца, эпизоды сердцебиения возникающие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новременно с болями за грудиной или предшествующие им. Приступы болей сопровождаются  повышенной потливостью, головокружением Боли в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сердца проходили после приема нитроглицерина, однако в последний раз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приема нитроглицерина боли уменьшились, но не прошли полностью,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хранялось онемение левой руки (до запястья, в большей мере по наружной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верхности).</w:t>
      </w:r>
    </w:p>
    <w:p w:rsidR="00194CED" w:rsidRDefault="00194CE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предъявлял жалобы на головную боль (тяжесть в затылке, висках),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вышенное АД (максимально 180/100, рабочее 130/100-90).</w:t>
      </w:r>
    </w:p>
    <w:p w:rsidR="00194CED" w:rsidRDefault="00194CED">
      <w:pPr>
        <w:ind w:left="709"/>
        <w:jc w:val="both"/>
        <w:rPr>
          <w:sz w:val="32"/>
          <w:szCs w:val="32"/>
        </w:rPr>
      </w:pPr>
    </w:p>
    <w:p w:rsidR="00194CED" w:rsidRDefault="00194CED">
      <w:pPr>
        <w:pStyle w:val="3"/>
      </w:pPr>
      <w:r>
        <w:t>История настоящего заболевания</w:t>
      </w:r>
    </w:p>
    <w:p w:rsidR="00194CED" w:rsidRDefault="00194CED">
      <w:pPr>
        <w:ind w:left="709"/>
        <w:jc w:val="both"/>
        <w:rPr>
          <w:sz w:val="24"/>
          <w:szCs w:val="24"/>
        </w:rPr>
      </w:pPr>
    </w:p>
    <w:p w:rsidR="00194CED" w:rsidRDefault="00194CED">
      <w:pPr>
        <w:pStyle w:val="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декабря 1994 года, когда  впервые во время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бочего дня появились интенсивные  боли за грудиной, колющего характера, иррадиирующие в левую руку, левую лопатку, нижнюю челюсть, сопрово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давшиеся проливным потом, головной болью, страхом смерти, слабостью. Больной принял таблетку нитроглицерина, однако боли не прошли. Коллег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по работе была вызвана бригада скорой помощи, была снята ЭКГ и с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зом инфаркт миокарда больной </w:t>
      </w:r>
    </w:p>
    <w:p w:rsidR="00194CED" w:rsidRDefault="00194CED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был доставлен в больницу.  В конце января 1995 года был выписан из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с рекомендацией сменить работу (работал литейщиком). Подобных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ступов больше не отмечал, однако после того как пошел работать по прежн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месту работы стал отмечать приступы сжимающих болей за грудиной,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сердца, иррадиирующие в правую лопатку, руку возникавшие после 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ческой нагрузки. А так же отмечалось повышение давления (180\100). При приступах принимал нитроглицерин под язык, затем  стал принимать нитр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сорбид по 2-4 таблетки в день. Хотя пациента часто беспокоили боли, к врачу обратился примерно через полгода. Был направлен на ВТЭК, где была дана вторая группа инвалидности. С конца 1995 года по август 1996 года отмечал регулярные приступы сжимающих болей за грудиной и в области сердца, 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радиирующие в правую руку, лопатку. Перед приступом болей иногда отмечал появление  пота, головокружения. Пациент старался ограничивать физическую нагрузку, и подобные приступы практически не беспокоили его, однако 21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2000 года после приезда с дачи утром внезапно почувствовал боль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сердца. Сжимающего характера, иррадиирующая в левую руку, нижнюю челюсть. Больной принял таблетку нитроглицерина под язык, боль не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шилась, через 1,5 часа боль приняла жгучий характер. Родственниками была вызвана скорая помощь и с диагнозом повторный инфаркт миокарда больной был доставлен в 1 ГКБ блок интенсивной терапии.  </w:t>
      </w:r>
    </w:p>
    <w:p w:rsidR="00194CED" w:rsidRDefault="00194CED">
      <w:pPr>
        <w:pStyle w:val="3"/>
        <w:widowControl w:val="0"/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b/>
          <w:bCs/>
        </w:rPr>
        <w:t>История жизни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1950 году в городе Москве, единственным  ребенком в семье. В школу пошел в 7 лет,  в умственном и физическом развитии от сверстников не отставал, после окончания 8 классов средней школы работал на заводе  гру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чиком.   С 1972 года по 1993  работал грузчиком в магазине, затем работал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тейщиком  заводе в горячем цехе.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Семейный анамнез: женат с 1973 года,  имеет сына 22 лет. </w:t>
      </w:r>
    </w:p>
    <w:p w:rsidR="00194CED" w:rsidRDefault="00194CE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Наследственность:  Отец и мать умерли от инсульта (страдали гипертонич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болезнью).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анамнез: трудовую деятельность начал в 15 лет. Рабочий день  был всегда нормирован, работа всегда была  связана с тяжелой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 нагрузкой.  На последнем месте работы работал в горячем цеху.  Отпуск предоставлялся ежегодно, как правило, в летнее время.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Бытовой анамнез: проживает в отдельной квартире со всеми удобствами,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риально обеспечен относительно удовлетворительно. Питается 3 раза в день горячей пищей в достаточном количестве, дома.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 инфекционный гепатит, брюшной и сыпной тифы, кишечные инфекции заболевания отрицает. Внутримышечных, внутр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венных, подкожных инъекции  не было. Туберкулез, сифилис, и венерические заболевания отрицает.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Привычные интоксикации: курит с 15 лет по одной пачке сигарет в день,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начала заболевания ограничивает себя в курении (одна пачка на 2-3  дня), алкоголем не злоупотребляет.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pStyle w:val="a6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 непереносимость лекарственных средств (анал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гин).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Страховой анамнез:  инвалидность 2 группы с января 1995 года.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pStyle w:val="3"/>
        <w:widowControl w:val="0"/>
        <w:spacing w:line="240" w:lineRule="atLeast"/>
        <w:jc w:val="both"/>
      </w:pPr>
      <w:r>
        <w:lastRenderedPageBreak/>
        <w:t>Настоящее состояние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4"/>
          <w:szCs w:val="24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Состояние больного средней тяжести. Положение активное.  Телосложение правильное, деформаций скелета нет. Рост 175 см, вес 69.5 кг. Подкожно-жировая клетчатка выражена умеренно (толщина  подкожно-жировой складки над пупком  2 см). Кожные покровы бледные.  Тургор кожи сохранен, кожа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ховата, эластичность не снижена.  Видимые слизистые бледно-розового цвета.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Костно-мышечная система</w:t>
      </w:r>
      <w:r>
        <w:rPr>
          <w:sz w:val="28"/>
          <w:szCs w:val="28"/>
        </w:rPr>
        <w:t>. Общее развитие мышечной системы хорошее, болезненности при ощупывании мышц нет. Деформаций костей, болезненн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 ощупывании суставов нет. Суставы обычной конфигурации. Форма грудной клетки правильная.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 затылочные, передние и задние шейные, подчелюстные,  подмышечные, локтевые, паховые, подколенные, не пальпируются.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Щитовидная железа</w:t>
      </w:r>
      <w:r>
        <w:rPr>
          <w:sz w:val="28"/>
          <w:szCs w:val="28"/>
        </w:rPr>
        <w:t xml:space="preserve"> не увеличена, мягко эластической консистенции. Сим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томы тиреотоксикоза отсутствуют.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4"/>
          <w:szCs w:val="24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>Сердечно-сосудистая система</w:t>
      </w:r>
      <w:r>
        <w:rPr>
          <w:sz w:val="28"/>
          <w:szCs w:val="28"/>
        </w:rPr>
        <w:t>. Пульс 100 ударов в минуту, ритмичный, ненапряжен, удовлетворительного наполнения, одинаковый на правой и левой руке.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сосудов конечностей и шеи: пульс на магистральных артериях верхних и нижних конечностей (на плечевой, бедренной, подколенной, тыл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артерии стопы), а также на шее (наружная сонная артерия) и головы (в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сочная артерия) не ослаблен. АД 130/100 мм. Рт. Ст.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области сердца: верхушечный толчок справа на 3 см отступя от среднеключичной линии в пятом межреберье, разлитой, не усиленный, не приподнимающий.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толчек не определяется. Эпигастральная пульсация ослабевает на высоте вдоха.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в области восходящей части дуги аорты, легочной артерии нет.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сердца: границы относительной  сердечной тупости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194CE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</w:t>
            </w:r>
          </w:p>
        </w:tc>
        <w:tc>
          <w:tcPr>
            <w:tcW w:w="6713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6713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см кнаружи от правого края грудины в 4 межреберье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няя</w:t>
            </w:r>
          </w:p>
        </w:tc>
        <w:tc>
          <w:tcPr>
            <w:tcW w:w="6713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3-м межреберье по </w:t>
            </w:r>
            <w:r>
              <w:rPr>
                <w:sz w:val="28"/>
                <w:szCs w:val="28"/>
                <w:lang w:val="en-US"/>
              </w:rPr>
              <w:t>l</w:t>
            </w:r>
            <w:r w:rsidRPr="00194C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parasternalis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6713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см кнаружи от среднеключичной линии в 5 межреберье</w:t>
            </w:r>
          </w:p>
        </w:tc>
      </w:tr>
    </w:tbl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Перкуторные границы абсолютной сердечной тупости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194CED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правая               левого края грудины в 4 межреберье </w:t>
            </w:r>
          </w:p>
        </w:tc>
        <w:tc>
          <w:tcPr>
            <w:tcW w:w="236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194CE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верхняя             у левого края грудины на 4 ребре 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левая                   на 2см кнутри от  среднеключичной линии в 5                                                                                                                         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межреберье                           </w:t>
            </w:r>
          </w:p>
        </w:tc>
      </w:tr>
    </w:tbl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сердца: тоны сердца приглушены,  соотношение тонов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во всех точках аускультации, ослаблены на верхушке, ритмичные. Систол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шум,  хорошо прослушиваемый на верхушке и точке Боткина. На сос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ды шеи и в подмышечную область не проводится.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сочных  и сонных артерий.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</w:t>
      </w:r>
      <w:r>
        <w:rPr>
          <w:sz w:val="28"/>
          <w:szCs w:val="28"/>
        </w:rPr>
        <w:t xml:space="preserve">. Форма грудной клетки правильная, обе половины равномерно участвуют в дыхании. Дыхание ритмичное. Частота дыхания 18 в минуту. 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клетки: грудная клетка безболезненная, неэластичная,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лосовое дрожание ослаблено над всей поверхностью легких.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легких: при сравнительной перкуссии легких над всей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легочных полей  определяется   ясный легочный звук.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l.parasternalis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l.medioclavicularis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anterior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ребро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media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posterior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scapulars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l.paravertebralis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</w:t>
            </w:r>
          </w:p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</w:t>
            </w:r>
          </w:p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Высота стояния верхушек легких: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спереди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</w:tr>
      <w:tr w:rsidR="00194CE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сзади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 7 шейного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</w:tc>
        <w:tc>
          <w:tcPr>
            <w:tcW w:w="2840" w:type="dxa"/>
          </w:tcPr>
          <w:p w:rsidR="00194CED" w:rsidRDefault="00194CE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 7 шейного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</w:tc>
      </w:tr>
    </w:tbl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легочных краев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справа                         7 см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слева                           7 см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легких:    дыхание жесткое,  ослабленное в нижних  отделах легких.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бронхофонии выявлено ослабление проведения голоса  в нижних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легочных полей.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пищеварения</w:t>
      </w:r>
      <w:r>
        <w:rPr>
          <w:sz w:val="28"/>
          <w:szCs w:val="28"/>
        </w:rPr>
        <w:t>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Осмотр ротовой полости: губы сухие, красная кайма губ бледная, сухая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 в слизистую часть губы выражен, язык влажный, обложен сероватым нал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том. Десны розовые,  не кровоточат, без воспалительных явлений. Минд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лины  за небные дужки не выступают. Слизистая глотки влажная, розовая, чистая.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ненапряженная.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глубокой пальпации в левой подвздошной области определяется безб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лезненная, ровная, плотноэластической консистенции сигмовидная кишка. Слепая и поперечно-ободочная кишка не пальпируются. При ориентирово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перкуссии свободный газ и жидкость в брюшной полости не определяются. Аускультация: перистальтика кишечника обычная.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Желудок: границы не определяются, отмечается шум плеска, видимой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стальтики не отмечается. Кишечник. Ощупывание по ходу ободочной кишки безболезненно, шум плеска не определяется.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Печень и желчный пузырь. Нижний край печени из подреберной дуги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ходит. Границ печени по Курлову  9,8,7.Желчный пузырь не прощупывается. Симптомы Мюсси, Мерфи, Ортнера отрицательный. Френикус симптом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цательный. Поджелудочная железа не прощупывается. 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Селезенка не пальпируется, перкуторные границы селезенки: верхняя  в 9  и нижняя в 11  межреберье по средней подмышечной линии.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Мочеполовая система</w:t>
      </w:r>
      <w:r>
        <w:rPr>
          <w:sz w:val="28"/>
          <w:szCs w:val="28"/>
        </w:rPr>
        <w:t>. Почки  и  область проекции мочеточников не пальп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руются,  покалачивание по поясничной области безболезненно. Наружные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ловые органы  развиты правильно, в мошонке пальпируются яички, плотно</w:t>
      </w:r>
      <w:r>
        <w:rPr>
          <w:sz w:val="28"/>
          <w:szCs w:val="28"/>
        </w:rPr>
        <w:t>э</w:t>
      </w:r>
      <w:r>
        <w:rPr>
          <w:sz w:val="28"/>
          <w:szCs w:val="28"/>
        </w:rPr>
        <w:t>ластической консистенции.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Нервно-психический статус</w:t>
      </w:r>
      <w:r>
        <w:rPr>
          <w:sz w:val="28"/>
          <w:szCs w:val="28"/>
        </w:rPr>
        <w:t>. Сознание ясное, речь внятная. Больной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 в месте, пространстве и времени. Сон  и память сохранены. Со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ны двигательной и чувствительных сфер патологии не выявлено. Походка без особенностей. Сухожильные рефлексы без патологии.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Предварительный диагноз</w:t>
      </w:r>
      <w:r>
        <w:rPr>
          <w:sz w:val="28"/>
          <w:szCs w:val="28"/>
        </w:rPr>
        <w:t>. Ишемическая болезнь сердца. Нестабильная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нокардия. Постинфарктный кардиосклероз (острый инфаркт миокарда от12 декабря 1994 года). Гипертоническая болезнь II.</w:t>
      </w:r>
    </w:p>
    <w:p w:rsidR="00194CED" w:rsidRDefault="00194CED">
      <w:pPr>
        <w:ind w:left="709"/>
        <w:jc w:val="both"/>
        <w:rPr>
          <w:sz w:val="28"/>
          <w:szCs w:val="28"/>
        </w:rPr>
      </w:pPr>
    </w:p>
    <w:p w:rsidR="00194CED" w:rsidRDefault="00194CE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обследования больного</w:t>
      </w:r>
      <w:r>
        <w:rPr>
          <w:sz w:val="28"/>
          <w:szCs w:val="28"/>
        </w:rPr>
        <w:t>.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мочи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ВИЧ и на RW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 АЛТ, АСТ, КФК,ЛДГ5, холестерин, липопрот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иды, креатинин, билирубин,  натрий, хлор, калий.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электрокардиография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эхокардиография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коронарография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грудной клетки в двух проекциях (прямой и боковой)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 (тщательно почки, печень)</w:t>
      </w:r>
    </w:p>
    <w:p w:rsidR="00194CED" w:rsidRDefault="00194CE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окулиста, эндокринолога.</w:t>
      </w:r>
    </w:p>
    <w:p w:rsidR="00194CED" w:rsidRDefault="00194CED">
      <w:pPr>
        <w:ind w:left="709"/>
        <w:jc w:val="both"/>
        <w:rPr>
          <w:sz w:val="28"/>
          <w:szCs w:val="28"/>
        </w:rPr>
      </w:pPr>
    </w:p>
    <w:p w:rsidR="00194CED" w:rsidRDefault="00194CED">
      <w:pPr>
        <w:ind w:left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Данные лабораторных исследований</w:t>
      </w:r>
      <w:r>
        <w:rPr>
          <w:sz w:val="28"/>
          <w:szCs w:val="28"/>
        </w:rPr>
        <w:t>:</w:t>
      </w:r>
    </w:p>
    <w:p w:rsidR="00194CED" w:rsidRDefault="00194CED">
      <w:pPr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Клинический анализ крови</w:t>
      </w:r>
      <w:r>
        <w:rPr>
          <w:sz w:val="28"/>
          <w:szCs w:val="28"/>
        </w:rPr>
        <w:t>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146 г\л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4.7 х 10 в 12 степени на литр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цветной показатель 0.96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лейкоцитов 3 х 10 в  9 степени на литр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эозинофилы 1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56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35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4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СОЭ 7 мм\ч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Анализ мочи 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кислая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1012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белок 0.033 г\л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сахар 0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1-2 в поле зрения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свежие 0-2 в поле зрения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 1-3 в поле зрения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крови</w:t>
      </w:r>
      <w:r>
        <w:rPr>
          <w:sz w:val="28"/>
          <w:szCs w:val="28"/>
        </w:rPr>
        <w:t>: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 6.4 - норма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 0,07  - норма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холестерин 8.3 норма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10.88 - норма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АЛТ - 0.4 – норма</w:t>
      </w:r>
    </w:p>
    <w:p w:rsidR="00194CED" w:rsidRDefault="00194CED">
      <w:pPr>
        <w:pStyle w:val="4"/>
        <w:rPr>
          <w:sz w:val="28"/>
          <w:szCs w:val="28"/>
        </w:rPr>
      </w:pPr>
    </w:p>
    <w:p w:rsidR="00194CED" w:rsidRDefault="00194CED">
      <w:pPr>
        <w:pStyle w:val="4"/>
        <w:rPr>
          <w:sz w:val="28"/>
          <w:szCs w:val="28"/>
        </w:rPr>
      </w:pPr>
      <w:r>
        <w:rPr>
          <w:sz w:val="28"/>
          <w:szCs w:val="28"/>
        </w:rPr>
        <w:t>Электрокардиография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Синусовая тахикардия 100 уд. в мин.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Обширные очаговые трансмуральные изменения передне перегородочной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верхушки, боковой стенки левого желудочка.</w:t>
      </w:r>
    </w:p>
    <w:p w:rsidR="00194CED" w:rsidRDefault="00194CE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194CED" w:rsidRDefault="00194CED">
      <w:pPr>
        <w:pStyle w:val="4"/>
        <w:rPr>
          <w:sz w:val="28"/>
          <w:szCs w:val="28"/>
        </w:rPr>
      </w:pPr>
      <w:r>
        <w:rPr>
          <w:sz w:val="28"/>
          <w:szCs w:val="28"/>
        </w:rPr>
        <w:t>Эхокардиографическое исследование:</w:t>
      </w:r>
    </w:p>
    <w:p w:rsidR="00194CED" w:rsidRDefault="00194CED">
      <w:pPr>
        <w:pStyle w:val="20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Постинфарктный гипокенез переднеперегородочного и верхушечного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лов. Пристеночные тромботические массы в основании верхушки. Утолщение стенки миокарда левого желудочка. Резко снижена общая сократимость ми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карда.</w:t>
      </w:r>
    </w:p>
    <w:p w:rsidR="00194CED" w:rsidRDefault="00194CED">
      <w:pPr>
        <w:pStyle w:val="20"/>
        <w:widowControl/>
        <w:spacing w:line="240" w:lineRule="auto"/>
        <w:rPr>
          <w:sz w:val="28"/>
          <w:szCs w:val="28"/>
        </w:rPr>
      </w:pPr>
    </w:p>
    <w:p w:rsidR="00194CED" w:rsidRDefault="00194CED">
      <w:pPr>
        <w:pStyle w:val="5"/>
        <w:rPr>
          <w:sz w:val="28"/>
          <w:szCs w:val="28"/>
        </w:rPr>
      </w:pPr>
      <w:r>
        <w:rPr>
          <w:sz w:val="28"/>
          <w:szCs w:val="28"/>
        </w:rPr>
        <w:t>План лечения на день курации:</w:t>
      </w:r>
    </w:p>
    <w:p w:rsidR="00194CED" w:rsidRDefault="00194CED">
      <w:pPr>
        <w:pStyle w:val="6"/>
        <w:rPr>
          <w:sz w:val="28"/>
          <w:szCs w:val="28"/>
        </w:rPr>
      </w:pPr>
      <w:r>
        <w:rPr>
          <w:sz w:val="28"/>
          <w:szCs w:val="28"/>
        </w:rPr>
        <w:t>Режим постельный</w:t>
      </w:r>
    </w:p>
    <w:p w:rsidR="00194CED" w:rsidRDefault="00194CED">
      <w:pPr>
        <w:ind w:left="709"/>
        <w:rPr>
          <w:sz w:val="28"/>
          <w:szCs w:val="28"/>
        </w:rPr>
      </w:pPr>
      <w:r>
        <w:rPr>
          <w:sz w:val="28"/>
          <w:szCs w:val="28"/>
        </w:rPr>
        <w:t>Диета 6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Аспирин 1\4 таб. – 3 р. в день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Капотен 12,5 мг – 3 р. в день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Нитросорбит 1т. – 4 р.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Фуросемид 1т.( 40 мг) в день утром.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Гентамецин 80 мг.- 3 р. в день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Вит. В1-2,0 в\м, В6-2,0 в\м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Кордарон 20 мг – 2р.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Нозепам 10 мг н. н.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Рибоксин 1т. – 3 р.</w:t>
      </w:r>
    </w:p>
    <w:p w:rsidR="00194CED" w:rsidRDefault="00194C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Кокарбоксилаза  5мл – 1 р.в день внутримышечно.</w:t>
      </w:r>
    </w:p>
    <w:p w:rsidR="00194CED" w:rsidRDefault="00194CED">
      <w:pPr>
        <w:ind w:left="709"/>
        <w:rPr>
          <w:b/>
          <w:bCs/>
          <w:sz w:val="28"/>
          <w:szCs w:val="28"/>
        </w:rPr>
      </w:pPr>
    </w:p>
    <w:p w:rsidR="00194CED" w:rsidRDefault="00194CE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Клинический диагноз</w:t>
      </w:r>
      <w:r>
        <w:rPr>
          <w:sz w:val="28"/>
          <w:szCs w:val="28"/>
        </w:rPr>
        <w:t>: ишемическая болезнь сердца, крупноочаговый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фаркт миокарда боковой стенки левого желудочка, рецидивирующего типа, пости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фарктный кардиосклероз (инфаркт миокарда от 12.12.94). Гипертоническая болезнь II стадии.</w:t>
      </w:r>
    </w:p>
    <w:p w:rsidR="00194CED" w:rsidRDefault="00194CED">
      <w:pPr>
        <w:jc w:val="both"/>
        <w:rPr>
          <w:sz w:val="28"/>
          <w:szCs w:val="28"/>
        </w:rPr>
      </w:pPr>
    </w:p>
    <w:p w:rsidR="00194CED" w:rsidRDefault="00194CED">
      <w:pPr>
        <w:jc w:val="both"/>
        <w:rPr>
          <w:sz w:val="28"/>
          <w:szCs w:val="28"/>
        </w:rPr>
      </w:pPr>
    </w:p>
    <w:p w:rsidR="00194CED" w:rsidRDefault="00194CED">
      <w:pPr>
        <w:jc w:val="both"/>
        <w:rPr>
          <w:sz w:val="28"/>
          <w:szCs w:val="28"/>
        </w:rPr>
      </w:pPr>
    </w:p>
    <w:p w:rsidR="00194CED" w:rsidRDefault="00194CED">
      <w:pPr>
        <w:jc w:val="both"/>
        <w:rPr>
          <w:sz w:val="28"/>
          <w:szCs w:val="28"/>
        </w:rPr>
      </w:pPr>
    </w:p>
    <w:p w:rsidR="00194CED" w:rsidRDefault="00194CED">
      <w:pPr>
        <w:jc w:val="both"/>
        <w:rPr>
          <w:sz w:val="28"/>
          <w:szCs w:val="28"/>
        </w:rPr>
      </w:pPr>
    </w:p>
    <w:p w:rsidR="00194CED" w:rsidRDefault="00194CED">
      <w:pPr>
        <w:jc w:val="both"/>
        <w:rPr>
          <w:sz w:val="28"/>
          <w:szCs w:val="28"/>
        </w:rPr>
      </w:pPr>
    </w:p>
    <w:p w:rsidR="00194CED" w:rsidRDefault="00194CED">
      <w:pPr>
        <w:jc w:val="both"/>
        <w:rPr>
          <w:sz w:val="28"/>
          <w:szCs w:val="28"/>
        </w:rPr>
      </w:pPr>
    </w:p>
    <w:p w:rsidR="00194CED" w:rsidRDefault="00194CED">
      <w:pPr>
        <w:ind w:firstLine="567"/>
        <w:jc w:val="both"/>
        <w:rPr>
          <w:sz w:val="28"/>
          <w:szCs w:val="28"/>
        </w:rPr>
      </w:pPr>
    </w:p>
    <w:p w:rsidR="00194CED" w:rsidRDefault="00194CED">
      <w:pPr>
        <w:ind w:firstLine="567"/>
        <w:jc w:val="both"/>
        <w:rPr>
          <w:sz w:val="28"/>
          <w:szCs w:val="28"/>
        </w:rPr>
      </w:pPr>
    </w:p>
    <w:p w:rsidR="00194CED" w:rsidRDefault="00194C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:rsidR="00194CED" w:rsidRDefault="00194CED">
      <w:pPr>
        <w:jc w:val="center"/>
        <w:rPr>
          <w:sz w:val="28"/>
          <w:szCs w:val="28"/>
        </w:rPr>
      </w:pPr>
    </w:p>
    <w:p w:rsidR="00194CED" w:rsidRDefault="00194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отдифференцировать следующие заболевания:</w:t>
      </w:r>
    </w:p>
    <w:p w:rsidR="00194CED" w:rsidRDefault="00194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Миокардиодистрофии - боли локализуются в области верхушки сердца,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 длительный, колющий характер, появлением недостаточности кровообращения, а также сопровождается деформацией и сужением сегмента ST.</w:t>
      </w:r>
    </w:p>
    <w:p w:rsidR="00194CED" w:rsidRDefault="00194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Острый перикардит - боли связаны с фазами дыхания, движениями, усил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в положении лежа; при объективном исследовании ССС выявляется наличие шума трения перикарда, по ЭКГ высокий Т и поднятие ST выше изоэлектрической линии во всех отведениях.</w:t>
      </w:r>
    </w:p>
    <w:p w:rsidR="00194CED" w:rsidRDefault="00194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Тромбоэмболия легочной артерии - начало заболевания после операции у больных с глубоким тромбозом вен нижних конечностей; наличие клинических и ЭКГ синдромов инфарктов легкого и инфарктной плевропневмонии с кровохаркан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шумом трения плевры, цианозом; отсутствие симптомов на ЭКГ, характерных для инфаркта миокарда.</w:t>
      </w:r>
    </w:p>
    <w:p w:rsidR="00194CED" w:rsidRDefault="00194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Стенокардия - боль возникает на высоте физической нагрузки, длится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10 минут, купируется нитроглицерином, а при инфаркте миокарда боль более интенсивная, длительная, не купируется нитроглицерином; также ишемический синдром не на высоте приступа, а на ЭКГ он отмечается, регрессирует в течение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дней.</w:t>
      </w:r>
    </w:p>
    <w:p w:rsidR="00194CED" w:rsidRDefault="00194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Расслаивающая аневризма аорты - характеризуется внезапными длительн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загрудинными болями, отсутствием ЭКГ-признаков инфаркта миокарда, асимметр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пульса и AD на руках и ногах, анемическим синдромом.</w:t>
      </w: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jc w:val="both"/>
        <w:rPr>
          <w:sz w:val="24"/>
          <w:szCs w:val="24"/>
        </w:rPr>
      </w:pPr>
    </w:p>
    <w:p w:rsidR="00194CED" w:rsidRDefault="00194CED">
      <w:pPr>
        <w:pStyle w:val="30"/>
      </w:pPr>
    </w:p>
    <w:p w:rsidR="00194CED" w:rsidRDefault="00194CED" w:rsidP="00194CED"/>
    <w:sectPr w:rsidR="00194CED">
      <w:headerReference w:type="default" r:id="rId8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41" w:rsidRDefault="00CC6241">
      <w:r>
        <w:separator/>
      </w:r>
    </w:p>
  </w:endnote>
  <w:endnote w:type="continuationSeparator" w:id="0">
    <w:p w:rsidR="00CC6241" w:rsidRDefault="00CC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41" w:rsidRDefault="00CC6241">
      <w:r>
        <w:separator/>
      </w:r>
    </w:p>
  </w:footnote>
  <w:footnote w:type="continuationSeparator" w:id="0">
    <w:p w:rsidR="00CC6241" w:rsidRDefault="00CC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ED" w:rsidRDefault="00194CED">
    <w:pPr>
      <w:pStyle w:val="a3"/>
      <w:jc w:val="center"/>
      <w:rPr>
        <w:b/>
        <w:bCs/>
        <w:i/>
        <w:iCs/>
      </w:rPr>
    </w:pPr>
    <w:r>
      <w:rPr>
        <w:b/>
        <w:bCs/>
        <w:i/>
        <w:iCs/>
      </w:rPr>
      <w:t xml:space="preserve">                        </w:t>
    </w:r>
    <w:r>
      <w:rPr>
        <w:rStyle w:val="a5"/>
        <w:b/>
        <w:bCs/>
        <w:i/>
        <w:iCs/>
      </w:rPr>
      <w:fldChar w:fldCharType="begin"/>
    </w:r>
    <w:r>
      <w:rPr>
        <w:rStyle w:val="a5"/>
        <w:b/>
        <w:bCs/>
        <w:i/>
        <w:iCs/>
      </w:rPr>
      <w:instrText xml:space="preserve"> PAGE </w:instrText>
    </w:r>
    <w:r>
      <w:rPr>
        <w:rStyle w:val="a5"/>
        <w:b/>
        <w:bCs/>
        <w:i/>
        <w:iCs/>
      </w:rPr>
      <w:fldChar w:fldCharType="separate"/>
    </w:r>
    <w:r w:rsidR="00E31B35">
      <w:rPr>
        <w:rStyle w:val="a5"/>
        <w:b/>
        <w:bCs/>
        <w:i/>
        <w:iCs/>
        <w:noProof/>
      </w:rPr>
      <w:t>1</w:t>
    </w:r>
    <w:r>
      <w:rPr>
        <w:rStyle w:val="a5"/>
        <w:b/>
        <w:bCs/>
        <w:i/>
        <w:iCs/>
      </w:rPr>
      <w:fldChar w:fldCharType="end"/>
    </w:r>
    <w:r>
      <w:rPr>
        <w:rStyle w:val="a5"/>
        <w:b/>
        <w:bCs/>
        <w:i/>
        <w:i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D8053EA"/>
    <w:multiLevelType w:val="singleLevel"/>
    <w:tmpl w:val="E1D8B6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ED"/>
    <w:rsid w:val="00020A83"/>
    <w:rsid w:val="00194CED"/>
    <w:rsid w:val="00CC6241"/>
    <w:rsid w:val="00E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709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709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Company>Мой оффис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ИБС</dc:subject>
  <dc:creator>Красножон Дмитрий</dc:creator>
  <cp:keywords>Тетерин</cp:keywords>
  <cp:lastModifiedBy>Igor</cp:lastModifiedBy>
  <cp:revision>2</cp:revision>
  <cp:lastPrinted>2000-11-15T19:09:00Z</cp:lastPrinted>
  <dcterms:created xsi:type="dcterms:W3CDTF">2024-03-30T07:32:00Z</dcterms:created>
  <dcterms:modified xsi:type="dcterms:W3CDTF">2024-03-30T07:32:00Z</dcterms:modified>
</cp:coreProperties>
</file>