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BE6055">
        <w:rPr>
          <w:rFonts w:ascii="Times New Roman" w:hAnsi="Times New Roman"/>
          <w:sz w:val="24"/>
          <w:szCs w:val="24"/>
          <w:lang w:val="ru-RU"/>
        </w:rPr>
        <w:t xml:space="preserve">Фамилия Имя Отчество: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Год рождения: 1963 (39 лет)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Профессия: мед. брат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Место жительства: город Москва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Дата госпитализации: 18 апреля 2003 года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Диагноз при поступлении: Искривление перегородки носа с отклонением вправо.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Жалобы больного на момент курации: затрудненное дыхание через нос, не зависящее от времени суток и положения головы, отделяемое слизисто-гнойного  характера из обеих половин носа.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Анамнез заболевания: Больным считает себя с 2000 года, когда после получения травмы носа, развились указанные выше жалобы: затрудненное дыхание через нос, отделения из носа слизисто-гнойного характера. Как правило, выделения, описанные выше, возникали при нахождении пациента в холодном помещении. Сезонности в течении заболевания не отмечает. С момента появления симптомов  больной занимался самолечением (до этого момента за медицинской помощью в связи с данным заболеванием не обращался): в вечернее время закапывал в носовые ходы сосудосуживающие капли - в результате выделения исчезали.  Со временем  используемые препараты перестали оказывать желаемый эффект, в связи с чем больной обратился в клинику болезней уха, горла и носа ММА им. И.М. Сеченова  для обследования и лечения.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Анамнез жизни.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Пациент родился в срок, находился на грудном вскармливании. Рос и развивался в соответствии с возрастом и полом. Образование профессиональное среднее. Профессиональные вредности отрицает. Условия труда и жилищно-коммунальные условия удовлетворительные. Питается полноценно. Простужается крайне редко.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Сопутствующие заболевания: язвенная болезнь двенадцатиперстной кишки в стадии ремиссии.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Аллергологический анамнез – не отягощён, аллергических реакций на лекарственные средства и продукты питания не отмечал.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Туберкулёз, гепатит, болезни, передаваемые половым путём, отрицает.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Перенесенные заболевания: корь, скарлатина, ветряная оспа, эпидемический паротит.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Вредные привычки: Курил около 0,5 пачки сигарет в день с 1977 по 1996 год. Алкоголь принимает редко, в небольших количествах.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Данные общего осмотра: Общее  состояние  удовлетворительное. Кожные  покровы  бледные, чистые, умеренно  влажные, эластичные.  Частота  дыхания – 19 в  минуту, ритм  правильный. При  аускультации дыхание везикулярное. Побочные дыхательные  </w:t>
      </w:r>
      <w:r w:rsidRPr="00BE6055">
        <w:rPr>
          <w:rFonts w:ascii="Times New Roman" w:hAnsi="Times New Roman"/>
          <w:sz w:val="24"/>
          <w:szCs w:val="24"/>
          <w:lang w:val="ru-RU"/>
        </w:rPr>
        <w:lastRenderedPageBreak/>
        <w:t xml:space="preserve">шумы  не  выслушиваются.  Частота  сердечных  сокращений  80 в минуту. Ритм  сердечных  сокращений  правильный, шумов не наблюдается. Тоны  сердца  правильные. Пульс  одинаковый  на  правой  и  левой  лучевых  артериях, правильный, с  частотой  80 в минуту, полный,  высокий. Артериальное  давление  - 120/80  мм рт. ст.  Живот мягкий, несколько  распластан, симметричен. При  пальпации безболезненный. Печень, желчный  пузырь, селезёнка, почки не  пальпируются. При  поколачивании  в  поясничной  области  болезненности  не наблюдается. </w:t>
      </w:r>
    </w:p>
    <w:p w:rsidR="001018F8" w:rsidRPr="00BE6055" w:rsidRDefault="001018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Рентгенограмма  органов  грудной  полости:  Свежих  очаговых  и инфильтративных изменений нет.  Сердце, аорта  -  без  особенностей.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Больной ориентирован в пространстве и времени, настроение спокойное.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ЛОР - статус: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Наружный осмотр и пальпация носа и его придаточных пазух.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Жалобы см. выше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наружный нос, места проекции придаточных пазух носа на лицо, подчелюстные и глубокие шейные лимфатические узлы при пальпации безболезненны, внешне не изменены.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Полость носа (передняя риноскопия): Слизистая оболочка розово-красного цвета, нижние носовые раковины увеличены, носовая перегородка (</w:t>
      </w:r>
      <w:r>
        <w:rPr>
          <w:rFonts w:ascii="Times New Roman" w:hAnsi="Times New Roman"/>
          <w:sz w:val="24"/>
          <w:szCs w:val="24"/>
          <w:lang w:val="en-US"/>
        </w:rPr>
        <w:t>pars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mobilis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septi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nasi</w:t>
      </w:r>
      <w:r w:rsidRPr="00BE6055">
        <w:rPr>
          <w:rFonts w:ascii="Times New Roman" w:hAnsi="Times New Roman"/>
          <w:sz w:val="24"/>
          <w:szCs w:val="24"/>
          <w:lang w:val="ru-RU"/>
        </w:rPr>
        <w:t>) искривлена с отклонением вправо.Сужение правой половины носа и расширение левой. В левой половине носа виден выступающий гребень. Отделяемое слизистого характера в обеих половинах носа в общих носовых ходах. Корок нет.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При пробе с ваткой дыхание затруднено больше справа. Обоняние сохранно, нормосмия.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Передняя риноскопия.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Глотка.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Жалоб нет.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i/>
          <w:iCs/>
          <w:sz w:val="24"/>
          <w:szCs w:val="24"/>
          <w:lang w:val="ru-RU"/>
        </w:rPr>
        <w:t>Наружный осмотр и пальпация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lastRenderedPageBreak/>
        <w:t>Область шеи, слизистая оболочка губ не изменены.  При пальпации лимфатические узлы шеи( в зачелюстной области, подчелюстные, глубокие шейные, задние шейные, в над- и подключичных ямках)  безболезненны, не увеличены.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i/>
          <w:iCs/>
          <w:sz w:val="24"/>
          <w:szCs w:val="24"/>
          <w:lang w:val="ru-RU"/>
        </w:rPr>
        <w:t>Ороскопия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Слизистая оболочка преддверия полости рта,  десен, твердого неба, языка ярко-розового цвета, не изъязвлена. Кариозно изменённых зубов не отмечается.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i/>
          <w:iCs/>
          <w:sz w:val="24"/>
          <w:szCs w:val="24"/>
          <w:lang w:val="ru-RU"/>
        </w:rPr>
        <w:t>Мезофарингоскопия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Обе половины мягкого неба симметрично подвижны.  Слизистая оболочка мягкого неба, его язычка, передних и задних небных дужек гладкая, розовая, дужки контурируются.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Слизистая оболочка миндалин розовая, влажная, поверхность их гладкая, видны устья лакун. В лакунах содержимого нет. Консистенция миндалин мягко-эластичная.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Слизистая оболочка задней стенки глотки розовая, влажная, ровная, видны отдельные небольшие фолликулы.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i/>
          <w:iCs/>
          <w:sz w:val="24"/>
          <w:szCs w:val="24"/>
          <w:lang w:val="ru-RU"/>
        </w:rPr>
        <w:t>Эпифарингоскопия - задняя риноскопия.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Свод носоглотки не содержит лимфоидной ткани и патологического секрета, слизистая оболочка верхних отделов глотки розовая, хоаны свободны, сошник по средней линии, задние концы носовых раковин розового цвета с гладкой поверхностью, концы раковин выступают из хоан, в носовых ходах некоторое количество слизистого отделяемого. На боковых стенках носоглотки на уровне задних концов нижних носовых раковин справа и слева видны глоточные отверстия слуховых труб, прикрытые трубными валиками.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i/>
          <w:iCs/>
          <w:sz w:val="24"/>
          <w:szCs w:val="24"/>
          <w:lang w:val="ru-RU"/>
        </w:rPr>
        <w:t>Гипофарингоскопия.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Виден корень языка с расположенной на нем язычной миндалиной. Надгортанник в виде развернутого лепестка, слизистая оболочка его бледно-розовая. Между надгортанником и корнем языка видны  валекулы, ограниченные срединной и боковой язычно-надгортанными складками.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Слизистая оболочка  задней и боковых стенок глотки  розовая, гладкая.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Задняя риноскопия.                                                                          Фарингоскопия.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Гортань.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lastRenderedPageBreak/>
        <w:t>Жалоб нет.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Голос звучный, дыхание свободное.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Наружный осмотр. При пальпации хрящи гортани свободно смещаются, наблюдается симптом крепитации.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Непрямая ларингоскопия. Корень языка расположенной на нем язычной миндалиной, надгортанник виде развернутого лепестка, слизистая оболочка его бледно-розового цвета. Во время фонации и при вдохе можно видеть голосовые складки перламутрово-белого цвета, с ровными краями. При фонации смыкание полное. Края складок у места их отхождения от щитовидного хряща образуют переднюю комиссуру.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В задних отделах гортани видна розового цвета с гладкой поверхностью слизистая оболочка черпаловидных хрящей. При вдохе через голосовую щель удается увидеть бледно-розовую оболочку верхнего отдела трахеи.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Ширина просвета голосовой щели во время вдоха 18 мм. Над голосовыми складками видны вестибулярные складки розового цвета.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От черпаловидных хрящей кверху, к лепестку надгортанника идут черпало-надгортанные складки, они розового цвета с гладкой поверхностью.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   Дыхание.                                                                                      Фонация.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Слуховой анализатор.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Жалоб нет.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Правое ухо.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Область сосцевидного отростка при наружном осмотре не изменена, перкуссия и пальпация его в трех точках: проекции антрума, сигмовидного синуса, верхушки безболезненны. Заушная складка (место прикрепления ушной раковины к сосцевидному отростку) хорошо контурируется.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Правая ушная раковина сформирована правильно,  имеются все образования, кожа ушной раковины и наружного слухового прохода не изменена.  Ушная раковина и козелок при пальпации безболезненны.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Отоскопическая картина. Наружный слуховой проход, имеющий длину около 2,5 см и диаметр около 7мм покрыт кожей, в перепончато-хрящевой части имеет волосы, содержит </w:t>
      </w:r>
      <w:r w:rsidRPr="00BE6055">
        <w:rPr>
          <w:rFonts w:ascii="Times New Roman" w:hAnsi="Times New Roman"/>
          <w:sz w:val="24"/>
          <w:szCs w:val="24"/>
          <w:lang w:val="ru-RU"/>
        </w:rPr>
        <w:lastRenderedPageBreak/>
        <w:t>секрет серных желез. Барабанная перепонка имеет серый цвет с перламутровым оттенком. На барабанной перепонке определяются опознавательные пункты: короткий отросток и рукоятка молоточка, передняя и задняя складки, световой конус (рефлекс), пупок.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Левое ухо.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Данные пальпации и осмотра аналогичны результатам осмотра правого уха.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Барабанная перепонка.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Слуховой паспорт.</w:t>
      </w:r>
    </w:p>
    <w:tbl>
      <w:tblPr>
        <w:tblW w:w="0" w:type="auto"/>
        <w:tblInd w:w="-160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99"/>
        <w:gridCol w:w="4522"/>
        <w:gridCol w:w="3499"/>
      </w:tblGrid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0000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AD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0000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ПОКАЗАТЕЛЬ/ОПЫТ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0000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AS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ШУМ В УХЕ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 6 метров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Ш.Р.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 6 метров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 20 метров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Р.Р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 20 метров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ГРОМКАЯ РЕЧЬ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Центральная латерализация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О. ВЕБЕРА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Центральная латерализация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Положительный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О. ФЕДЕРИЧИ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Положительный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Положительный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О. РИННЕ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Положительный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 укорочен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О. ШВАБАХА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 укорочен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Положительный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О. ЖЕЛЕ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Положительный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 сек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128 по воздуху 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 сек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сек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 128 тканевая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сек</w:t>
            </w:r>
          </w:p>
        </w:tc>
      </w:tr>
      <w:tr w:rsidR="001018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 сек</w:t>
            </w:r>
          </w:p>
        </w:tc>
        <w:tc>
          <w:tcPr>
            <w:tcW w:w="4522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 2048 по воздуху</w:t>
            </w:r>
          </w:p>
        </w:tc>
        <w:tc>
          <w:tcPr>
            <w:tcW w:w="3499" w:type="dxa"/>
            <w:tcBorders>
              <w:top w:val="single" w:sz="6" w:space="0" w:color="007F7F"/>
              <w:left w:val="single" w:sz="6" w:space="0" w:color="007F7F"/>
              <w:bottom w:val="single" w:sz="6" w:space="0" w:color="007F7F"/>
              <w:right w:val="single" w:sz="6" w:space="0" w:color="007F7F"/>
            </w:tcBorders>
            <w:shd w:val="clear" w:color="auto" w:fill="007F7F"/>
            <w:vAlign w:val="center"/>
          </w:tcPr>
          <w:p w:rsidR="001018F8" w:rsidRDefault="001018F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 сек</w:t>
            </w:r>
          </w:p>
        </w:tc>
      </w:tr>
    </w:tbl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ВЫВОДЫ: Функция органа слуха не нарушена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Тональная пороговая аудиограмма.            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Исследование вестибулярного аппарата: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Жалоб нет.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Спонтанного головокружения не отмечает, тошноты, рвоты, потери равновесия нет. Спонтанный нистагм отсутствует. Пальценосовая проба, пальце-пальцевая проба (с открытыми и с закрытыми глазами): мимопопадания отсутствуют. Поза Ромберга - устойчив, не отклоняется. Проба на адиадохокинез отрицательная. Фистульная проба - отрицательная. Прямая и фланговая походка -НОРМА.</w:t>
      </w:r>
      <w:r w:rsidRPr="00BE6055">
        <w:rPr>
          <w:rFonts w:ascii="Times New Roman" w:hAnsi="Times New Roman"/>
          <w:sz w:val="24"/>
          <w:szCs w:val="24"/>
          <w:lang w:val="ru-RU"/>
        </w:rPr>
        <w:br/>
        <w:t>Выводы: Патологических изменений вестибулярного аппарата не выявлено.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Дополнительные исследования: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Общий анализ крови.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Эритроциты 5.9 * 106 /л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3.9-4.7 * 1012 /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л  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Гемоглобин 120 г/л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120.0-140.0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г/л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Лейкоциты  7,34 * 109 /л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4.0-9.0 * 109 /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л 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lastRenderedPageBreak/>
        <w:t>Нейтрофилы 46,5%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Эозинофилы  5,9%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0.5-5%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Базофилы 0.58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0-1%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Лимфоциты 40,8%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19-37%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Моноциты 6,2%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3-11%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тромбоциты  272*103 /л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Исследование серологических реакций (</w:t>
      </w:r>
      <w:r>
        <w:rPr>
          <w:rFonts w:ascii="Times New Roman" w:hAnsi="Times New Roman"/>
          <w:sz w:val="24"/>
          <w:szCs w:val="24"/>
          <w:lang w:val="en-US"/>
        </w:rPr>
        <w:t>RW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антител к ВИЧ, маркеров вирусных гепатитов) : антитела к ВИЧ не обнаружены, </w:t>
      </w:r>
      <w:r>
        <w:rPr>
          <w:rFonts w:ascii="Times New Roman" w:hAnsi="Times New Roman"/>
          <w:sz w:val="24"/>
          <w:szCs w:val="24"/>
          <w:lang w:val="en-US"/>
        </w:rPr>
        <w:t>RW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отрицательная, маркеров вирусных гепатитов не обгаружено.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E6055">
        <w:rPr>
          <w:rFonts w:ascii="Times New Roman" w:hAnsi="Times New Roman"/>
          <w:sz w:val="24"/>
          <w:szCs w:val="24"/>
          <w:u w:val="single"/>
          <w:lang w:val="ru-RU"/>
        </w:rPr>
        <w:t xml:space="preserve">Общий  анализ  мочи </w:t>
      </w: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относительная  плотность  1011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реакция  кислая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цвет  сол-жёлтый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прозрачность неполная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белок  ---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сахар ---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желчные  пигменты ---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эпителий  в  неб. количествах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лейкоциты  0-1 в  поле  зрения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эритроциты  0-1 в  поле  зрения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ураты ---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оксалаты ---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цилиндры ---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Для исключения перелома костей носа (в результате травмы в 2000 году) требуется произвести Рентгенографию костей носа в прямой и боковой проекции.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Клинический диагноз:  искривление хрящевой части перегородки носа с отклонением вправо. Хронический катаральный ??? ринит.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Обоснование диагноза.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Основываясь на данных передней риноскопии (искривление хрящевой части носовой перегородки вправо и наличие выступающего гребня в левой половине носа), наличие травмы носа в анамнезе и четкая её связь с возникновением затруднений носового дыхания, не имеющих сезонной зависимости и не зависящих от положения головы, можно диагностировать искривление хрящевой части перегородки  носа с отклонением вправо.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Дифференциальный диагноз.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Необходим дифференциальный диагноз хронического катарального ринита, возникшего на фоне искривления перегородки носа с затруднением носового дыхания от других форм ринита.</w:t>
      </w:r>
    </w:p>
    <w:p w:rsidR="001018F8" w:rsidRPr="00BE6055" w:rsidRDefault="001018F8" w:rsidP="00BE605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На основании жалоб больного и анамнеза:  отсутствие сезонности в обострениях недуга, отсутствие отягощённого аллергического анамнеза явления, позволяет усомниться в возможности поллиноза или аллергического ринита, а наличие постоянной заложенности носа, вне зависимости от температуры тела и общего </w:t>
      </w:r>
      <w:r w:rsidRPr="00BE6055">
        <w:rPr>
          <w:rFonts w:ascii="Times New Roman" w:hAnsi="Times New Roman"/>
          <w:sz w:val="24"/>
          <w:szCs w:val="24"/>
          <w:lang w:val="ru-RU"/>
        </w:rPr>
        <w:lastRenderedPageBreak/>
        <w:t>состояния можно исключить нейровегетативную форму вазомоторного ринита.</w:t>
      </w:r>
    </w:p>
    <w:p w:rsidR="001018F8" w:rsidRPr="00BE6055" w:rsidRDefault="001018F8" w:rsidP="00BE605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Наличие искривления носовой перегородки </w:t>
      </w:r>
      <w:r>
        <w:rPr>
          <w:rFonts w:ascii="Times New Roman" w:hAnsi="Times New Roman"/>
          <w:sz w:val="24"/>
          <w:szCs w:val="24"/>
          <w:lang w:val="en-US"/>
        </w:rPr>
        <w:t>pars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mobilis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septi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nasi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с отклонением вправо, является одной из причин, вызывающих упорный ринит. </w:t>
      </w:r>
    </w:p>
    <w:p w:rsidR="001018F8" w:rsidRDefault="001018F8" w:rsidP="00BE605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Гипертрофический ринит исключает проведённая проба с адреналином: дала выраженный эффект - является положительной, а также эффективность при лечении </w:t>
      </w:r>
      <w:r>
        <w:rPr>
          <w:rFonts w:ascii="Symbol" w:hAnsi="Symbol" w:cs="Symbol"/>
          <w:sz w:val="24"/>
          <w:szCs w:val="24"/>
          <w:lang w:val="ru-RU"/>
        </w:rPr>
        <w:t></w:t>
      </w:r>
      <w:r w:rsidRPr="00BE6055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адреномиметиками. </w:t>
      </w:r>
    </w:p>
    <w:p w:rsidR="001018F8" w:rsidRPr="00BE6055" w:rsidRDefault="001018F8" w:rsidP="00BE605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 xml:space="preserve">Хорошее общее состояние, отсутствие головных болей и субъективных жалоб больного исключает  наличие гайморита, фронтитов, синуситов. </w:t>
      </w:r>
    </w:p>
    <w:p w:rsidR="001018F8" w:rsidRPr="00BE6055" w:rsidRDefault="001018F8" w:rsidP="00BE605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Отсутствие корок в носовых ходах, а также отсутствие жалоб на сухость в носу и нарушение обоняния позволяют исключить хронический атрофический ринит.</w:t>
      </w:r>
    </w:p>
    <w:p w:rsidR="001018F8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Unicode MS" w:eastAsia="Arial Unicode MS" w:hAnsi="Times New Roman" w:cs="Arial Unicode MS"/>
          <w:sz w:val="24"/>
          <w:szCs w:val="24"/>
          <w:lang w:val="ru-RU"/>
        </w:rPr>
      </w:pPr>
      <w:r w:rsidRPr="00BE6055">
        <w:rPr>
          <w:rFonts w:ascii="Times New Roman" w:hAnsi="Times New Roman"/>
          <w:sz w:val="24"/>
          <w:szCs w:val="24"/>
          <w:lang w:val="ru-RU"/>
        </w:rPr>
        <w:t>Лечение:</w:t>
      </w:r>
      <w:r>
        <w:rPr>
          <w:rFonts w:ascii="Arial Unicode MS" w:eastAsia="Arial Unicode MS" w:hAnsi="Times New Roman" w:cs="Arial Unicode MS"/>
          <w:sz w:val="24"/>
          <w:szCs w:val="24"/>
          <w:lang w:val="ru-RU"/>
        </w:rPr>
        <w:t xml:space="preserve">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E6055">
        <w:rPr>
          <w:rFonts w:ascii="Times New Roman" w:eastAsia="Arial Unicode MS" w:hAnsi="Times New Roman"/>
          <w:sz w:val="24"/>
          <w:szCs w:val="24"/>
          <w:lang w:val="ru-RU"/>
        </w:rPr>
        <w:t>Хирургическое лечение: Операция на перегородке носа (подслизистая резекция).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E6055">
        <w:rPr>
          <w:rFonts w:ascii="Times New Roman" w:eastAsia="Arial Unicode MS" w:hAnsi="Times New Roman"/>
          <w:sz w:val="24"/>
          <w:szCs w:val="24"/>
          <w:lang w:val="ru-RU"/>
        </w:rPr>
        <w:t>Показания: значительное нарушение дыхательной функции носа, хронический катаральный ринит.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E6055">
        <w:rPr>
          <w:rFonts w:ascii="Times New Roman" w:eastAsia="Arial Unicode MS" w:hAnsi="Times New Roman"/>
          <w:sz w:val="24"/>
          <w:szCs w:val="24"/>
          <w:lang w:val="ru-RU"/>
        </w:rPr>
        <w:t>Обезболивание: Местное (0,5% р-р новокаина)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E6055">
        <w:rPr>
          <w:rFonts w:ascii="Times New Roman" w:eastAsia="Arial Unicode MS" w:hAnsi="Times New Roman"/>
          <w:sz w:val="24"/>
          <w:szCs w:val="24"/>
          <w:lang w:val="ru-RU"/>
        </w:rPr>
        <w:t xml:space="preserve">Ход операции: производится разрез слизистой оболочки и надхрящницы в области </w:t>
      </w:r>
      <w:r>
        <w:rPr>
          <w:rFonts w:ascii="Arial Unicode MS" w:eastAsia="Arial Unicode MS" w:hAnsi="Times New Roman" w:cs="Arial Unicode MS"/>
          <w:sz w:val="24"/>
          <w:szCs w:val="24"/>
          <w:lang w:val="ru-RU"/>
        </w:rPr>
        <w:t>limen nasi</w:t>
      </w:r>
      <w:r w:rsidRPr="00BE6055">
        <w:rPr>
          <w:rFonts w:ascii="Times New Roman" w:eastAsia="Arial Unicode MS" w:hAnsi="Times New Roman"/>
          <w:sz w:val="24"/>
          <w:szCs w:val="24"/>
          <w:lang w:val="ru-RU"/>
        </w:rPr>
        <w:t xml:space="preserve">, как правило, со стороны искривлённого хряща.  Распатором отслаивается слизистая оболочка и надхрящница от хряща. Далее хрящ разрезается таким образом, чтобы не повредить надхрящницу и слизистую с противоположной стороны. Их отсекают распатором, освобожденный хрящ в месте искривления охватывают браншами носового зеркала и иссекают качающимся ножом Белленжера. Остатки искривлённого хряща удаляют щипцами.Костные шипы и гребни удаляют молотком или долотом. Далее листки слизистой оболочки и надхрящницы с обеих сторон сближают, в обе половины носа вводят марлевые тампоны, смоченные вазелиновым маслом и раствором антибиотиков. Тампоны удаляют через 24 - 48 часов. </w:t>
      </w:r>
    </w:p>
    <w:p w:rsidR="001018F8" w:rsidRPr="00BE6055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E6055">
        <w:rPr>
          <w:rFonts w:ascii="Times New Roman" w:eastAsia="Arial Unicode MS" w:hAnsi="Times New Roman"/>
          <w:sz w:val="24"/>
          <w:szCs w:val="24"/>
          <w:lang w:val="ru-RU"/>
        </w:rPr>
        <w:t xml:space="preserve">Консервативное лечение:  Терапия, направленная на уменьшение проницаемости сосудистой стенки и гипосенсибилизацию: димедрол, пипольфен, кальция хлорид. </w:t>
      </w:r>
    </w:p>
    <w:p w:rsidR="001018F8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E6055">
        <w:rPr>
          <w:rFonts w:ascii="Times New Roman" w:eastAsia="Arial Unicode MS" w:hAnsi="Times New Roman"/>
          <w:sz w:val="24"/>
          <w:szCs w:val="24"/>
          <w:lang w:val="ru-RU"/>
        </w:rPr>
        <w:t xml:space="preserve">Местное лечение: 1% инталовая мазь, аэрозоль бекотида, физотерапия: общее У/Ф облучение, электрофорез 1% р-ра димедрола, 1% р-ра интала, ультрафонофорез суспензии гидрокортизона, аэроионотерапия, облучение полости носа расфокусированным пучком гелий - неонового лазера. </w:t>
      </w:r>
      <w:r>
        <w:rPr>
          <w:rFonts w:ascii="Times New Roman" w:eastAsia="Arial Unicode MS" w:hAnsi="Times New Roman"/>
          <w:sz w:val="24"/>
          <w:szCs w:val="24"/>
          <w:lang w:val="en-US"/>
        </w:rPr>
        <w:t>Акупунктура, электропунктура.</w:t>
      </w:r>
    </w:p>
    <w:p w:rsidR="001018F8" w:rsidRDefault="001018F8">
      <w:pPr>
        <w:widowControl w:val="0"/>
        <w:autoSpaceDE w:val="0"/>
        <w:autoSpaceDN w:val="0"/>
        <w:adjustRightInd w:val="0"/>
        <w:spacing w:before="100" w:after="100" w:line="240" w:lineRule="auto"/>
        <w:ind w:left="357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</w:p>
    <w:p w:rsidR="001018F8" w:rsidRDefault="001018F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1018F8" w:rsidRDefault="0010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</w:p>
    <w:sectPr w:rsidR="001018F8">
      <w:pgSz w:w="12240" w:h="15840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6A3B"/>
    <w:multiLevelType w:val="singleLevel"/>
    <w:tmpl w:val="4C0E03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55"/>
    <w:rsid w:val="001018F8"/>
    <w:rsid w:val="00BE6055"/>
    <w:rsid w:val="00D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2024-03-30T08:29:00Z</dcterms:created>
  <dcterms:modified xsi:type="dcterms:W3CDTF">2024-03-30T08:29:00Z</dcterms:modified>
</cp:coreProperties>
</file>