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91E4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Исследование щитовидной железы в ядерной медицине</w:t>
      </w:r>
    </w:p>
    <w:p w:rsidR="00000000" w:rsidRDefault="00D91E4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Дик Квеккебум, Эрик Креннинг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Дик Квеккебум защитил диссертацию, посвященную аденомам гипофиза в 1989 году, затем, с</w:t>
      </w:r>
      <w:r>
        <w:rPr>
          <w:color w:val="000000"/>
          <w:sz w:val="24"/>
          <w:szCs w:val="24"/>
        </w:rPr>
        <w:t xml:space="preserve"> 1990 по 1994 год, работал научным сотрудником на кафедре ядерной медицины в Роттердаме, исследуя сцинтиграфию соматостатиновых рецепторов в диагностике нейроэндокринных опухолей. С 1998 года работает врачом-радиологом в клинике ядерной медицины университе</w:t>
      </w:r>
      <w:r>
        <w:rPr>
          <w:color w:val="000000"/>
          <w:sz w:val="24"/>
          <w:szCs w:val="24"/>
        </w:rPr>
        <w:t xml:space="preserve">та Роттердама. Основным направлением исследований является сцинтиграфия рецепторов различных пептидов. Д. Квеккебум является координатором исследований по использованию меченного аналога соматостатина </w:t>
      </w:r>
      <w:r>
        <w:rPr>
          <w:color w:val="000000"/>
          <w:sz w:val="24"/>
          <w:szCs w:val="24"/>
          <w:vertAlign w:val="superscript"/>
        </w:rPr>
        <w:t>177</w:t>
      </w:r>
      <w:r>
        <w:rPr>
          <w:color w:val="000000"/>
          <w:sz w:val="24"/>
          <w:szCs w:val="24"/>
        </w:rPr>
        <w:t>Lu-октреотата в лечении нейроэндокринных опухолей. О</w:t>
      </w:r>
      <w:r>
        <w:rPr>
          <w:color w:val="000000"/>
          <w:sz w:val="24"/>
          <w:szCs w:val="24"/>
        </w:rPr>
        <w:t xml:space="preserve">публиковал много работ в международных журналах и монографиях, большинство из которых посвящено эндокринологии и сцинтиграфии пептидных рецепторов.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Эрик Креннинг закончил свое медицинское образование в 1972 году, а в 1983 году защитил диссертацию в универ</w:t>
      </w:r>
      <w:r>
        <w:rPr>
          <w:color w:val="000000"/>
          <w:sz w:val="24"/>
          <w:szCs w:val="24"/>
        </w:rPr>
        <w:t>ситете Роттердама. В настоящее время является заведующим кафедрой ядерной медицины в университетском госпитале Роттердама (с 1985 года), профессор ядерной медицины (с 1990), с 1999 года — член лондонского королевского колледжа врачей. Э. Кренинг активно за</w:t>
      </w:r>
      <w:r>
        <w:rPr>
          <w:color w:val="000000"/>
          <w:sz w:val="24"/>
          <w:szCs w:val="24"/>
        </w:rPr>
        <w:t xml:space="preserve">нимается преподавательской деятельностью, читает лекции по внутренним болезням, ядерной медицине и эндокринологии. С 1975 года занимается научной работой, основным направлением которой является тиреоидология и исследование радиоактивно-меченных пептидов в </w:t>
      </w:r>
      <w:r>
        <w:rPr>
          <w:color w:val="000000"/>
          <w:sz w:val="24"/>
          <w:szCs w:val="24"/>
        </w:rPr>
        <w:t xml:space="preserve">диагностике и лечении различных заболеваний. Э. Кренинг — соавтор более чем 250 научных статей, публиковавшихся начиная с 1975 года, а также глав в более чем 150 руководствах в области тиреоидологии. </w:t>
      </w:r>
    </w:p>
    <w:p w:rsidR="00000000" w:rsidRDefault="00D91E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Введение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Сканирование щитовидной железы с использовани</w:t>
      </w:r>
      <w:r>
        <w:rPr>
          <w:color w:val="000000"/>
          <w:sz w:val="24"/>
          <w:szCs w:val="24"/>
        </w:rPr>
        <w:t xml:space="preserve">ем изотопов йода — одно и самых старых исследований в ядерной медицине. Многие другие радиоизотопные исследования, которые предлагались после сцинтиграфии щитовидной железы с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I, описанной В. Cassen и др. [</w:t>
      </w:r>
      <w:hyperlink r:id="rId6" w:anchor="1" w:history="1">
        <w:r>
          <w:rPr>
            <w:rStyle w:val="a4"/>
            <w:sz w:val="24"/>
            <w:szCs w:val="24"/>
          </w:rPr>
          <w:t>1</w:t>
        </w:r>
      </w:hyperlink>
      <w:r>
        <w:rPr>
          <w:color w:val="000000"/>
          <w:sz w:val="24"/>
          <w:szCs w:val="24"/>
        </w:rPr>
        <w:t>] в 1951 году, например, сцинтиграфия печени, селезенки и костного мозга, к настоящему времени устарели, т</w:t>
      </w:r>
      <w:r>
        <w:rPr>
          <w:color w:val="000000"/>
          <w:sz w:val="24"/>
          <w:szCs w:val="24"/>
        </w:rPr>
        <w:t xml:space="preserve">огда как сканирование щитовидной железы до сих пор является одним из самых частых рутинных обследований, которые проводятся в радиоизотопных отделениях. Наиболее важная причина этого заключается в том, что результаты сканирования с </w:t>
      </w:r>
      <w:r>
        <w:rPr>
          <w:color w:val="000000"/>
          <w:sz w:val="24"/>
          <w:szCs w:val="24"/>
          <w:vertAlign w:val="superscript"/>
        </w:rPr>
        <w:t>123</w:t>
      </w:r>
      <w:r>
        <w:rPr>
          <w:color w:val="000000"/>
          <w:sz w:val="24"/>
          <w:szCs w:val="24"/>
        </w:rPr>
        <w:t xml:space="preserve">I или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существенн</w:t>
      </w:r>
      <w:r>
        <w:rPr>
          <w:color w:val="000000"/>
          <w:sz w:val="24"/>
          <w:szCs w:val="24"/>
        </w:rPr>
        <w:t xml:space="preserve">ым образом отражаются на лечении заболеваний щитовидной железы. Так, если бы не существовал такой метод лечения, как терапия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I, сканирование с этим изотопом было бы давно вытеснено из клинической практики другими методами. Более новые и многообещающие м</w:t>
      </w:r>
      <w:r>
        <w:rPr>
          <w:color w:val="000000"/>
          <w:sz w:val="24"/>
          <w:szCs w:val="24"/>
        </w:rPr>
        <w:t>етодики, которые появились в последнее время, также потенциально совмещают в себе возможности визуализации и лечения при помощи одного и того же радиофармпрепарата. С развитием этого направления, в частности с прогрессом в области использования радиоактивн</w:t>
      </w:r>
      <w:r>
        <w:rPr>
          <w:color w:val="000000"/>
          <w:sz w:val="24"/>
          <w:szCs w:val="24"/>
        </w:rPr>
        <w:t xml:space="preserve">о-меченных пептидов, связывают перспективы лечения рака щитовидной железы. </w:t>
      </w:r>
    </w:p>
    <w:p w:rsidR="00000000" w:rsidRDefault="00D91E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Сцинтиграфия при доброкачественных заболеваниях щитовидной железы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Наиболее частыми показаниями в порядке убывания значимости являются: тиреотоксикоз, многоузловой эутиреоидный зоб </w:t>
      </w:r>
      <w:r>
        <w:rPr>
          <w:color w:val="000000"/>
          <w:sz w:val="24"/>
          <w:szCs w:val="24"/>
        </w:rPr>
        <w:t xml:space="preserve">и гипотиреоз. Во всех этих случаях для сцинтиграфии могут быть использованы </w:t>
      </w:r>
      <w:r>
        <w:rPr>
          <w:color w:val="000000"/>
          <w:sz w:val="24"/>
          <w:szCs w:val="24"/>
          <w:vertAlign w:val="superscript"/>
        </w:rPr>
        <w:t>123</w:t>
      </w:r>
      <w:r>
        <w:rPr>
          <w:color w:val="000000"/>
          <w:sz w:val="24"/>
          <w:szCs w:val="24"/>
        </w:rPr>
        <w:t xml:space="preserve">I,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или </w:t>
      </w:r>
      <w:r>
        <w:rPr>
          <w:color w:val="000000"/>
          <w:sz w:val="24"/>
          <w:szCs w:val="24"/>
          <w:vertAlign w:val="superscript"/>
        </w:rPr>
        <w:t>99m</w:t>
      </w:r>
      <w:r>
        <w:rPr>
          <w:color w:val="000000"/>
          <w:sz w:val="24"/>
          <w:szCs w:val="24"/>
        </w:rPr>
        <w:t xml:space="preserve">Tc-пертехнетат. В том случае, если пациенту в дальнейшем планируется проведение терапии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по поводу токсического зоба, для сцинтиграфии должны использоваться и</w:t>
      </w:r>
      <w:r>
        <w:rPr>
          <w:color w:val="000000"/>
          <w:sz w:val="24"/>
          <w:szCs w:val="24"/>
        </w:rPr>
        <w:t xml:space="preserve">менно изотопы йода, по захвату которых в дальнейшем рассчитывается необходимая терапевтическая активность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I. Технеций с этой целью использоваться не может, поскольку имеет очень короткий период полувыведения из щитовидной железы и относительно низкое со</w:t>
      </w:r>
      <w:r>
        <w:rPr>
          <w:color w:val="000000"/>
          <w:sz w:val="24"/>
          <w:szCs w:val="24"/>
        </w:rPr>
        <w:t xml:space="preserve">отношение между накоплением изотопа в железе и фоновым накоплением. При выборе изотопа йода, нужно исходить из того, что </w:t>
      </w:r>
      <w:r>
        <w:rPr>
          <w:color w:val="000000"/>
          <w:sz w:val="24"/>
          <w:szCs w:val="24"/>
          <w:vertAlign w:val="superscript"/>
        </w:rPr>
        <w:t>123</w:t>
      </w:r>
      <w:r>
        <w:rPr>
          <w:color w:val="000000"/>
          <w:sz w:val="24"/>
          <w:szCs w:val="24"/>
        </w:rPr>
        <w:t xml:space="preserve">I </w:t>
      </w:r>
      <w:r>
        <w:rPr>
          <w:color w:val="000000"/>
          <w:sz w:val="24"/>
          <w:szCs w:val="24"/>
        </w:rPr>
        <w:lastRenderedPageBreak/>
        <w:t xml:space="preserve">предпочтительнее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I, во-первых, поскольку пациент подвергается меньшему облучению, а во-вторых, в связи с тем, что если после сц</w:t>
      </w:r>
      <w:r>
        <w:rPr>
          <w:color w:val="000000"/>
          <w:sz w:val="24"/>
          <w:szCs w:val="24"/>
        </w:rPr>
        <w:t xml:space="preserve">интиграфии планируется назначение терапии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, остаточное бета-излучение от диагностической дозы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 может обусловить снижение захвата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I, назначаемого с лечебной целью (так называемый "stunning"). При обследовании пациентов с тиреотоксикозом, могут б</w:t>
      </w:r>
      <w:r>
        <w:rPr>
          <w:color w:val="000000"/>
          <w:sz w:val="24"/>
          <w:szCs w:val="24"/>
        </w:rPr>
        <w:t xml:space="preserve">ыть выявлены следующие 4 наиболее частых варианта сцинтиграмм: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Диффузное усиление захвата изотопа, характерное для болезни Грейвса и казуистически редко встречающегося ТТГ зависимого тиреотоксикоза при тиреотропиноме гипофиза.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Локальное усиление захвата </w:t>
      </w:r>
      <w:r>
        <w:rPr>
          <w:color w:val="000000"/>
          <w:sz w:val="24"/>
          <w:szCs w:val="24"/>
        </w:rPr>
        <w:t xml:space="preserve">изотопа "горячими" узлами.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Чередование областей повышения и снижения захвата при многоузловом зобе </w:t>
      </w:r>
      <w:r>
        <w:rPr>
          <w:rStyle w:val="a6"/>
          <w:color w:val="000000"/>
          <w:sz w:val="24"/>
          <w:szCs w:val="24"/>
        </w:rPr>
        <w:t>(*при мультифокальной и диссеминированной форме функциональной автономии щитовидной железы</w:t>
      </w:r>
      <w:r>
        <w:rPr>
          <w:color w:val="000000"/>
          <w:sz w:val="24"/>
          <w:szCs w:val="24"/>
        </w:rPr>
        <w:t xml:space="preserve">).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Общее снижение захвата изотопа при подостром и лимфицитарно</w:t>
      </w:r>
      <w:r>
        <w:rPr>
          <w:color w:val="000000"/>
          <w:sz w:val="24"/>
          <w:szCs w:val="24"/>
        </w:rPr>
        <w:t xml:space="preserve">м тиреоидитах (часто неоднородное) и при артифициальном тиреотоксикозе (рис. 1) </w:t>
      </w:r>
      <w:r>
        <w:rPr>
          <w:rStyle w:val="a6"/>
          <w:color w:val="000000"/>
          <w:sz w:val="24"/>
          <w:szCs w:val="24"/>
        </w:rPr>
        <w:t>[*аналогичная сцинтиграфическая картина будет наблюдаться при любом другом деструктивном тиреотоксикоза, в частности, при послеродовом и молчащем тиреоидитах, а также амиодарон</w:t>
      </w:r>
      <w:r>
        <w:rPr>
          <w:rStyle w:val="a6"/>
          <w:color w:val="000000"/>
          <w:sz w:val="24"/>
          <w:szCs w:val="24"/>
        </w:rPr>
        <w:t>индуцированном тиреотоксикозе 2 типа].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приобретенном гипотиреозе захват изотопов йода или </w:t>
      </w:r>
      <w:r>
        <w:rPr>
          <w:color w:val="000000"/>
          <w:sz w:val="24"/>
          <w:szCs w:val="24"/>
          <w:vertAlign w:val="superscript"/>
        </w:rPr>
        <w:t>99m</w:t>
      </w:r>
      <w:r>
        <w:rPr>
          <w:color w:val="000000"/>
          <w:sz w:val="24"/>
          <w:szCs w:val="24"/>
        </w:rPr>
        <w:t>Tc-пертехнетата снижен. В случае врожденного гипотиреоза, в зависимости от его варианта, могут выявляться полное отсутствие захвата изотопа при агенезии железы</w:t>
      </w:r>
      <w:r>
        <w:rPr>
          <w:color w:val="000000"/>
          <w:sz w:val="24"/>
          <w:szCs w:val="24"/>
        </w:rPr>
        <w:t>, а также снижение захвата изотопа нормальной, увеличенной или эктопированной железой. Эктопированная ткань щитовидной железы может обнаруживаться на всем протяжении тиреоглоссального протока: от корня языка до средостенья. Для выявления дефектов органифик</w:t>
      </w:r>
      <w:r>
        <w:rPr>
          <w:color w:val="000000"/>
          <w:sz w:val="24"/>
          <w:szCs w:val="24"/>
        </w:rPr>
        <w:t>ации йода при врожденном гипотиреозе может быть проведен тест с перхлоратом. В этом тесте перхлорат вводится пациенту через 2 часа после радиоактивного йода. Перхлорат при этом блокирует дальнейший захват йода щитовидной железой и йод, который был захвачен</w:t>
      </w:r>
      <w:r>
        <w:rPr>
          <w:color w:val="000000"/>
          <w:sz w:val="24"/>
          <w:szCs w:val="24"/>
        </w:rPr>
        <w:t xml:space="preserve"> до этого, при наличии дефекта органификации, покидает щитовидную железу. Это приводит к снижению уровня радиоактивности от щитовидной железы и её одновременному увеличению от крови. </w:t>
      </w:r>
    </w:p>
    <w:p w:rsidR="00000000" w:rsidRDefault="00D91E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Сцинтиграфия при злокачественных опухолях щитовидной железы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обсужде</w:t>
      </w:r>
      <w:r>
        <w:rPr>
          <w:color w:val="000000"/>
          <w:sz w:val="24"/>
          <w:szCs w:val="24"/>
        </w:rPr>
        <w:t xml:space="preserve">нии этого вопроса целесообразно выделить методы, которые используются при подозрении на злокачественную опухоль щитовидной железы и методы визуализации метастазов опухолей.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Результаты сцинтиграфии с радиоактивным йодом могут оказать определенную помощь пр</w:t>
      </w:r>
      <w:r>
        <w:rPr>
          <w:color w:val="000000"/>
          <w:sz w:val="24"/>
          <w:szCs w:val="24"/>
        </w:rPr>
        <w:t>и обследовании пациентов с узловым зобом, поскольку обнаружение повышенного захвата изотопа узлом по сравнению с окружающей тканью делает крайне маловероятным то, что этот узел является злокачественной опухолью. Тем не менее, собственно для диагностики рак</w:t>
      </w:r>
      <w:r>
        <w:rPr>
          <w:color w:val="000000"/>
          <w:sz w:val="24"/>
          <w:szCs w:val="24"/>
        </w:rPr>
        <w:t>а щитовидной железы современные методы ядерной медицины имеют ограниченное значение, поскольку постановка этого диагноза обязательно подразумевает тонкоигольную биопсию с последующим цитологическим исследованием и/или гистологическое исследование удаленног</w:t>
      </w:r>
      <w:r>
        <w:rPr>
          <w:color w:val="000000"/>
          <w:sz w:val="24"/>
          <w:szCs w:val="24"/>
        </w:rPr>
        <w:t>о во время операции материала. Кроме того, все имеющиеся на сегодняшний день методы ядерной медицины имеют низкую специфичность в плане выявления злокачественных опухолей: только 20% "холодных" узлов по данным сцинтиграфии с изотопами йода или технеция — з</w:t>
      </w:r>
      <w:r>
        <w:rPr>
          <w:color w:val="000000"/>
          <w:sz w:val="24"/>
          <w:szCs w:val="24"/>
        </w:rPr>
        <w:t>локачественны [</w:t>
      </w:r>
      <w:hyperlink r:id="rId7" w:anchor="2" w:history="1">
        <w:r>
          <w:rPr>
            <w:rStyle w:val="a4"/>
            <w:sz w:val="24"/>
            <w:szCs w:val="24"/>
          </w:rPr>
          <w:t>2</w:t>
        </w:r>
      </w:hyperlink>
      <w:r>
        <w:rPr>
          <w:color w:val="000000"/>
          <w:sz w:val="24"/>
          <w:szCs w:val="24"/>
        </w:rPr>
        <w:t>]; медуллярный рак при сцинтиграфии сомато</w:t>
      </w:r>
      <w:r>
        <w:rPr>
          <w:color w:val="000000"/>
          <w:sz w:val="24"/>
          <w:szCs w:val="24"/>
        </w:rPr>
        <w:t>статиновых рецепторов (ССР) может не визуализироваться [</w:t>
      </w:r>
      <w:hyperlink r:id="rId8" w:anchor="3" w:history="1">
        <w:r>
          <w:rPr>
            <w:rStyle w:val="a4"/>
            <w:sz w:val="24"/>
            <w:szCs w:val="24"/>
          </w:rPr>
          <w:t>3</w:t>
        </w:r>
      </w:hyperlink>
      <w:r>
        <w:rPr>
          <w:color w:val="000000"/>
          <w:sz w:val="24"/>
          <w:szCs w:val="24"/>
        </w:rPr>
        <w:t>];</w:t>
      </w:r>
      <w:r>
        <w:rPr>
          <w:color w:val="000000"/>
          <w:sz w:val="24"/>
          <w:szCs w:val="24"/>
        </w:rPr>
        <w:t xml:space="preserve"> как злокачественные, так и доброкачественные образования могут накапливать 18-фтор-дезоксиглюкозу (18FDG) [</w:t>
      </w:r>
      <w:hyperlink r:id="rId9" w:anchor="4" w:history="1">
        <w:r>
          <w:rPr>
            <w:rStyle w:val="a4"/>
            <w:sz w:val="24"/>
            <w:szCs w:val="24"/>
          </w:rPr>
          <w:t>4</w:t>
        </w:r>
      </w:hyperlink>
      <w:r>
        <w:rPr>
          <w:color w:val="000000"/>
          <w:sz w:val="24"/>
          <w:szCs w:val="24"/>
        </w:rPr>
        <w:t xml:space="preserve">]; другие исследования, такие как сцинтиграфия с </w:t>
      </w:r>
      <w:r>
        <w:rPr>
          <w:color w:val="000000"/>
          <w:sz w:val="24"/>
          <w:szCs w:val="24"/>
          <w:vertAlign w:val="superscript"/>
        </w:rPr>
        <w:t>201</w:t>
      </w:r>
      <w:r>
        <w:rPr>
          <w:color w:val="000000"/>
          <w:sz w:val="24"/>
          <w:szCs w:val="24"/>
        </w:rPr>
        <w:t>таллием (</w:t>
      </w:r>
      <w:r>
        <w:rPr>
          <w:color w:val="000000"/>
          <w:sz w:val="24"/>
          <w:szCs w:val="24"/>
          <w:vertAlign w:val="superscript"/>
        </w:rPr>
        <w:t>201</w:t>
      </w:r>
      <w:r>
        <w:rPr>
          <w:color w:val="000000"/>
          <w:sz w:val="24"/>
          <w:szCs w:val="24"/>
        </w:rPr>
        <w:t xml:space="preserve">Tl), </w:t>
      </w:r>
      <w:r>
        <w:rPr>
          <w:color w:val="000000"/>
          <w:sz w:val="24"/>
          <w:szCs w:val="24"/>
          <w:vertAlign w:val="superscript"/>
        </w:rPr>
        <w:t>99m</w:t>
      </w:r>
      <w:r>
        <w:rPr>
          <w:color w:val="000000"/>
          <w:sz w:val="24"/>
          <w:szCs w:val="24"/>
        </w:rPr>
        <w:t xml:space="preserve">Tc-(V)-димеркапто-янтарной кислотой (DMSA) и </w:t>
      </w:r>
      <w:r>
        <w:rPr>
          <w:color w:val="000000"/>
          <w:sz w:val="24"/>
          <w:szCs w:val="24"/>
          <w:vertAlign w:val="superscript"/>
        </w:rPr>
        <w:t>99m</w:t>
      </w:r>
      <w:r>
        <w:rPr>
          <w:color w:val="000000"/>
          <w:sz w:val="24"/>
          <w:szCs w:val="24"/>
        </w:rPr>
        <w:t>Tc-метокси-изобутил-изонитрилом (MIBI) все имеют низкую специфичность [</w:t>
      </w:r>
      <w:hyperlink r:id="rId10" w:anchor="5" w:history="1">
        <w:r>
          <w:rPr>
            <w:rStyle w:val="a4"/>
            <w:sz w:val="24"/>
            <w:szCs w:val="24"/>
          </w:rPr>
          <w:t>5</w:t>
        </w:r>
      </w:hyperlink>
      <w:r>
        <w:rPr>
          <w:color w:val="000000"/>
          <w:sz w:val="24"/>
          <w:szCs w:val="24"/>
        </w:rPr>
        <w:t xml:space="preserve">, </w:t>
      </w:r>
      <w:hyperlink r:id="rId11" w:anchor="6" w:history="1">
        <w:r>
          <w:rPr>
            <w:rStyle w:val="a4"/>
            <w:sz w:val="24"/>
            <w:szCs w:val="24"/>
          </w:rPr>
          <w:t>6</w:t>
        </w:r>
      </w:hyperlink>
      <w:r>
        <w:rPr>
          <w:color w:val="000000"/>
          <w:sz w:val="24"/>
          <w:szCs w:val="24"/>
        </w:rPr>
        <w:t xml:space="preserve">]. Таким </w:t>
      </w:r>
      <w:r>
        <w:rPr>
          <w:color w:val="000000"/>
          <w:sz w:val="24"/>
          <w:szCs w:val="24"/>
        </w:rPr>
        <w:lastRenderedPageBreak/>
        <w:t xml:space="preserve">образом, можно заключить, что ядерная медицина не имеет особого значения для выявления злокачественных новообразований </w:t>
      </w:r>
      <w:r>
        <w:rPr>
          <w:color w:val="000000"/>
          <w:sz w:val="24"/>
          <w:szCs w:val="24"/>
        </w:rPr>
        <w:t xml:space="preserve">щитовидной железы.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другому обстоит дело, когда речь идет о наблюдении пациентов, прооперированных по поводу рака щитовидной железы. После удаления щитовидной железы по поводу высокодифференцированного рака (ВДР) пациенту получают аблативную терапию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 xml:space="preserve">I, а дальнейшее наблюдение подразумевает динамическое определение уровня тиреоглобулина (ТГ) и сцинтиграфии с изотопами йода. Для такой тактики есть следующие основания: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обнаружении изолированных метастазов, они могут быть удалены хирургически;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</w:t>
      </w:r>
      <w:r>
        <w:rPr>
          <w:color w:val="000000"/>
          <w:sz w:val="24"/>
          <w:szCs w:val="24"/>
        </w:rPr>
        <w:t xml:space="preserve">выявляются множественные метастазы, после сцинтиграфии могут быть назначены высокие дозы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I.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пациентов, у которых в крови определяется ТГ, а сцинтиграфия с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 не обнаруживает метастазов, последние могут быть выявлены при помощи ряда других радионукли</w:t>
      </w:r>
      <w:r>
        <w:rPr>
          <w:color w:val="000000"/>
          <w:sz w:val="24"/>
          <w:szCs w:val="24"/>
        </w:rPr>
        <w:t xml:space="preserve">дов. Для обнаружения метастазов ВДР (папиллярный, фолликулярный), которые не захватывают йод, может использоваться сцинтиграфия всего тела с </w:t>
      </w:r>
      <w:r>
        <w:rPr>
          <w:color w:val="000000"/>
          <w:sz w:val="24"/>
          <w:szCs w:val="24"/>
          <w:vertAlign w:val="superscript"/>
        </w:rPr>
        <w:t>201</w:t>
      </w:r>
      <w:r>
        <w:rPr>
          <w:color w:val="000000"/>
          <w:sz w:val="24"/>
          <w:szCs w:val="24"/>
        </w:rPr>
        <w:t xml:space="preserve">Tl. Помимо того, что в захвате </w:t>
      </w:r>
      <w:r>
        <w:rPr>
          <w:color w:val="000000"/>
          <w:sz w:val="24"/>
          <w:szCs w:val="24"/>
          <w:vertAlign w:val="superscript"/>
        </w:rPr>
        <w:t>201</w:t>
      </w:r>
      <w:r>
        <w:rPr>
          <w:color w:val="000000"/>
          <w:sz w:val="24"/>
          <w:szCs w:val="24"/>
        </w:rPr>
        <w:t xml:space="preserve">Tl участвует АТФ-зависимый натрий-йодидный симпортер, дополнительное значение </w:t>
      </w:r>
      <w:r>
        <w:rPr>
          <w:color w:val="000000"/>
          <w:sz w:val="24"/>
          <w:szCs w:val="24"/>
        </w:rPr>
        <w:t>придается васкуляризации и клеточности метастазов опухоли, а также длительности фиксации в них изотопа [</w:t>
      </w:r>
      <w:hyperlink r:id="rId12" w:anchor="7" w:history="1">
        <w:r>
          <w:rPr>
            <w:rStyle w:val="a4"/>
            <w:sz w:val="24"/>
            <w:szCs w:val="24"/>
          </w:rPr>
          <w:t>7</w:t>
        </w:r>
      </w:hyperlink>
      <w:r>
        <w:rPr>
          <w:color w:val="000000"/>
          <w:sz w:val="24"/>
          <w:szCs w:val="24"/>
        </w:rPr>
        <w:t xml:space="preserve">, </w:t>
      </w:r>
      <w:hyperlink r:id="rId13" w:anchor="8" w:history="1">
        <w:r>
          <w:rPr>
            <w:rStyle w:val="a4"/>
            <w:sz w:val="24"/>
            <w:szCs w:val="24"/>
          </w:rPr>
          <w:t>8</w:t>
        </w:r>
      </w:hyperlink>
      <w:r>
        <w:rPr>
          <w:color w:val="000000"/>
          <w:sz w:val="24"/>
          <w:szCs w:val="24"/>
        </w:rPr>
        <w:t>]. Чувстви</w:t>
      </w:r>
      <w:r>
        <w:rPr>
          <w:color w:val="000000"/>
          <w:sz w:val="24"/>
          <w:szCs w:val="24"/>
        </w:rPr>
        <w:t>тельность этого метода в плане выявления метастазов ВДР составляет 60 — 90% и не зависит от использования эндогенной или экзогенной стимуляции ТТГ [</w:t>
      </w:r>
      <w:hyperlink r:id="rId14" w:anchor="9" w:history="1">
        <w:r>
          <w:rPr>
            <w:rStyle w:val="a4"/>
            <w:sz w:val="24"/>
            <w:szCs w:val="24"/>
          </w:rPr>
          <w:t>9</w:t>
        </w:r>
      </w:hyperlink>
      <w:r>
        <w:rPr>
          <w:color w:val="000000"/>
          <w:sz w:val="24"/>
          <w:szCs w:val="24"/>
        </w:rPr>
        <w:t xml:space="preserve"> — </w:t>
      </w:r>
      <w:hyperlink r:id="rId15" w:anchor="12" w:history="1">
        <w:r>
          <w:rPr>
            <w:rStyle w:val="a4"/>
            <w:sz w:val="24"/>
            <w:szCs w:val="24"/>
          </w:rPr>
          <w:t>12</w:t>
        </w:r>
      </w:hyperlink>
      <w:r>
        <w:rPr>
          <w:color w:val="000000"/>
          <w:sz w:val="24"/>
          <w:szCs w:val="24"/>
        </w:rPr>
        <w:t xml:space="preserve">]. Не только рак щитовидной железы, но и ряд других опухолей способны накапливать </w:t>
      </w:r>
      <w:r>
        <w:rPr>
          <w:color w:val="000000"/>
          <w:sz w:val="24"/>
          <w:szCs w:val="24"/>
          <w:vertAlign w:val="superscript"/>
        </w:rPr>
        <w:t>201</w:t>
      </w:r>
      <w:r>
        <w:rPr>
          <w:color w:val="000000"/>
          <w:sz w:val="24"/>
          <w:szCs w:val="24"/>
        </w:rPr>
        <w:t xml:space="preserve">Tl.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 препаратом, который может использов</w:t>
      </w:r>
      <w:r>
        <w:rPr>
          <w:color w:val="000000"/>
          <w:sz w:val="24"/>
          <w:szCs w:val="24"/>
        </w:rPr>
        <w:t xml:space="preserve">аться для выявления метастазов ВДР является </w:t>
      </w:r>
      <w:r>
        <w:rPr>
          <w:color w:val="000000"/>
          <w:sz w:val="24"/>
          <w:szCs w:val="24"/>
          <w:vertAlign w:val="superscript"/>
        </w:rPr>
        <w:t>99m</w:t>
      </w:r>
      <w:r>
        <w:rPr>
          <w:color w:val="000000"/>
          <w:sz w:val="24"/>
          <w:szCs w:val="24"/>
        </w:rPr>
        <w:t>Tc-MIBI. Точный механизм его захвата опухолью неизвестен, но он зависит от внутриклеточной плотности митохондрий. Этот метод также имеет высокую диагностическую чувствительность [</w:t>
      </w:r>
      <w:hyperlink r:id="rId16" w:anchor="13" w:history="1">
        <w:r>
          <w:rPr>
            <w:rStyle w:val="a4"/>
            <w:sz w:val="24"/>
            <w:szCs w:val="24"/>
          </w:rPr>
          <w:t>13</w:t>
        </w:r>
      </w:hyperlink>
      <w:r>
        <w:rPr>
          <w:color w:val="000000"/>
          <w:sz w:val="24"/>
          <w:szCs w:val="24"/>
        </w:rPr>
        <w:t xml:space="preserve">, </w:t>
      </w:r>
      <w:hyperlink r:id="rId17" w:anchor="14" w:history="1">
        <w:r>
          <w:rPr>
            <w:rStyle w:val="a4"/>
            <w:sz w:val="24"/>
            <w:szCs w:val="24"/>
          </w:rPr>
          <w:t>14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99m</w:t>
      </w:r>
      <w:r>
        <w:rPr>
          <w:color w:val="000000"/>
          <w:sz w:val="24"/>
          <w:szCs w:val="24"/>
        </w:rPr>
        <w:t>Tc-(V)-DMSA содержит ион фосфата и может аккумулировать даже в кальцифицированных опухолях, например в медуллярном раке щитовидно</w:t>
      </w:r>
      <w:r>
        <w:rPr>
          <w:color w:val="000000"/>
          <w:sz w:val="24"/>
          <w:szCs w:val="24"/>
        </w:rPr>
        <w:t>й железы (МРЩЖ). В диагностике МРЩЖ метод обладает высокой чувствительностью [</w:t>
      </w:r>
      <w:hyperlink r:id="rId18" w:anchor="15" w:history="1">
        <w:r>
          <w:rPr>
            <w:rStyle w:val="a4"/>
            <w:sz w:val="24"/>
            <w:szCs w:val="24"/>
          </w:rPr>
          <w:t>15</w:t>
        </w:r>
      </w:hyperlink>
      <w:r>
        <w:rPr>
          <w:color w:val="000000"/>
          <w:sz w:val="24"/>
          <w:szCs w:val="24"/>
        </w:rPr>
        <w:t xml:space="preserve">]. Ложно-положительные результаты чаще встречаются у пациентов с минимальным повышением опухолевых маркеров в крови.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появилось много публикаций о роли позитронно-эмиссионной томографии (ПЭТ) с 18-фтор-дезоксиглюкоз</w:t>
      </w:r>
      <w:r>
        <w:rPr>
          <w:color w:val="000000"/>
          <w:sz w:val="24"/>
          <w:szCs w:val="24"/>
        </w:rPr>
        <w:t>ой (18FDG) в обследовании пациентов с рецидивом рака щитовидной железы. Поскольку в большинстве опухолей значительно повышен обмен веществ и содержание транспортеров глюкозы, их удается визуализировать при помощи 18FDG, которая захватывается подобно глюкоз</w:t>
      </w:r>
      <w:r>
        <w:rPr>
          <w:color w:val="000000"/>
          <w:sz w:val="24"/>
          <w:szCs w:val="24"/>
        </w:rPr>
        <w:t>е. В связи с тем, что повышенным обменом характеризуются многие опухоли, а также, например, инфекционные очаги, 18FDG-ПЭТ обладает низкой специфичностью в плане выявления метастазов рака щитовидной железы, но чувствительность этого метода высока. Ряд автор</w:t>
      </w:r>
      <w:r>
        <w:rPr>
          <w:color w:val="000000"/>
          <w:sz w:val="24"/>
          <w:szCs w:val="24"/>
        </w:rPr>
        <w:t>ов сделали вывод о том, что чувствительность 18FDG-ПЭТ при ВДР и МРЩЖ достигает 80 — 95% [</w:t>
      </w:r>
      <w:hyperlink r:id="rId19" w:anchor="16" w:history="1">
        <w:r>
          <w:rPr>
            <w:rStyle w:val="a4"/>
            <w:sz w:val="24"/>
            <w:szCs w:val="24"/>
          </w:rPr>
          <w:t>16</w:t>
        </w:r>
      </w:hyperlink>
      <w:r>
        <w:rPr>
          <w:color w:val="000000"/>
          <w:sz w:val="24"/>
          <w:szCs w:val="24"/>
        </w:rPr>
        <w:t xml:space="preserve"> — </w:t>
      </w:r>
      <w:hyperlink r:id="rId20" w:anchor="19" w:history="1">
        <w:r>
          <w:rPr>
            <w:rStyle w:val="a4"/>
            <w:sz w:val="24"/>
            <w:szCs w:val="24"/>
          </w:rPr>
          <w:t>19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Весьма персп</w:t>
      </w:r>
      <w:r>
        <w:rPr>
          <w:color w:val="000000"/>
          <w:sz w:val="24"/>
          <w:szCs w:val="24"/>
        </w:rPr>
        <w:t>ективным и важным для обследования пациентов с раком щитовидной железы, будет иметь создание аппаратуры, комбинирующей возможности компьютерной томографии (КТ) и ПЭТ, которая будет одновременно иметь высокую разрешающую способность и выдавать информацию фу</w:t>
      </w:r>
      <w:r>
        <w:rPr>
          <w:color w:val="000000"/>
          <w:sz w:val="24"/>
          <w:szCs w:val="24"/>
        </w:rPr>
        <w:t xml:space="preserve">нкционального и анатомического характера. Как и другие описанные исследования, 18FDG-ПЭТ имеет наибольшее значение у пациентов с повышенным уровнем ТГ и с опухолями, лишенными способности захватывать </w:t>
      </w:r>
      <w:r>
        <w:rPr>
          <w:color w:val="000000"/>
          <w:sz w:val="24"/>
          <w:szCs w:val="24"/>
          <w:vertAlign w:val="superscript"/>
        </w:rPr>
        <w:t>131</w:t>
      </w:r>
      <w:r>
        <w:rPr>
          <w:color w:val="000000"/>
          <w:sz w:val="24"/>
          <w:szCs w:val="24"/>
        </w:rPr>
        <w:t>I. Стимуляция эндогенным или экзогенным рекомбинантны</w:t>
      </w:r>
      <w:r>
        <w:rPr>
          <w:color w:val="000000"/>
          <w:sz w:val="24"/>
          <w:szCs w:val="24"/>
        </w:rPr>
        <w:t>м ТТГ позволяет при этой методике достичь лучших результатов [</w:t>
      </w:r>
      <w:hyperlink r:id="rId21" w:anchor="20" w:history="1">
        <w:r>
          <w:rPr>
            <w:rStyle w:val="a4"/>
            <w:sz w:val="24"/>
            <w:szCs w:val="24"/>
          </w:rPr>
          <w:t>20</w:t>
        </w:r>
      </w:hyperlink>
      <w:r>
        <w:rPr>
          <w:color w:val="000000"/>
          <w:sz w:val="24"/>
          <w:szCs w:val="24"/>
        </w:rPr>
        <w:t xml:space="preserve">, </w:t>
      </w:r>
      <w:hyperlink r:id="rId22" w:anchor="21" w:history="1">
        <w:r>
          <w:rPr>
            <w:rStyle w:val="a4"/>
            <w:sz w:val="24"/>
            <w:szCs w:val="24"/>
          </w:rPr>
          <w:t>21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Сцинтиграфия соматостатиновых рецепторов (ССР) может использоваться в диагностике как ВДР, так и МРЩЖ. Рецепторы к соматостатину</w:t>
      </w:r>
      <w:r>
        <w:rPr>
          <w:color w:val="000000"/>
          <w:sz w:val="24"/>
          <w:szCs w:val="24"/>
        </w:rPr>
        <w:t xml:space="preserve"> экспрессируются во многих </w:t>
      </w:r>
      <w:r>
        <w:rPr>
          <w:color w:val="000000"/>
          <w:sz w:val="24"/>
          <w:szCs w:val="24"/>
        </w:rPr>
        <w:lastRenderedPageBreak/>
        <w:t>нейроэндокринных опухолях и могут быть визуализированы при помощи меченного радиоактивной меткой аналога соматостатина [</w:t>
      </w:r>
      <w:r>
        <w:rPr>
          <w:color w:val="000000"/>
          <w:sz w:val="24"/>
          <w:szCs w:val="24"/>
          <w:vertAlign w:val="superscript"/>
        </w:rPr>
        <w:t>111</w:t>
      </w:r>
      <w:r>
        <w:rPr>
          <w:color w:val="000000"/>
          <w:sz w:val="24"/>
          <w:szCs w:val="24"/>
        </w:rPr>
        <w:t>In-DTPA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]-октреотида. У пациентов с МТЩЖ чувствительность ССР по визуализации опухоли и её метастазов сост</w:t>
      </w:r>
      <w:r>
        <w:rPr>
          <w:color w:val="000000"/>
          <w:sz w:val="24"/>
          <w:szCs w:val="24"/>
        </w:rPr>
        <w:t>авляет 50 — 70% [</w:t>
      </w:r>
      <w:hyperlink r:id="rId23" w:anchor="3" w:history="1">
        <w:r>
          <w:rPr>
            <w:rStyle w:val="a4"/>
            <w:sz w:val="24"/>
            <w:szCs w:val="24"/>
          </w:rPr>
          <w:t>3</w:t>
        </w:r>
      </w:hyperlink>
      <w:r>
        <w:rPr>
          <w:color w:val="000000"/>
          <w:sz w:val="24"/>
          <w:szCs w:val="24"/>
        </w:rPr>
        <w:t xml:space="preserve">, </w:t>
      </w:r>
      <w:hyperlink r:id="rId24" w:anchor="22" w:history="1">
        <w:r>
          <w:rPr>
            <w:rStyle w:val="a4"/>
            <w:sz w:val="24"/>
            <w:szCs w:val="24"/>
          </w:rPr>
          <w:t>22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обследованной нами группе из 17 пациентов с МРЩЖ [</w:t>
      </w:r>
      <w:hyperlink r:id="rId25" w:anchor="3" w:history="1">
        <w:r>
          <w:rPr>
            <w:rStyle w:val="a4"/>
            <w:sz w:val="24"/>
            <w:szCs w:val="24"/>
          </w:rPr>
          <w:t>3</w:t>
        </w:r>
      </w:hyperlink>
      <w:r>
        <w:rPr>
          <w:color w:val="000000"/>
          <w:sz w:val="24"/>
          <w:szCs w:val="24"/>
        </w:rPr>
        <w:t xml:space="preserve">] отношение уровня кальцитонина к карциноэмбриональному антигену (СЕА) оказалось значимо выше </w:t>
      </w:r>
      <w:r>
        <w:rPr>
          <w:color w:val="000000"/>
          <w:sz w:val="24"/>
          <w:szCs w:val="24"/>
        </w:rPr>
        <w:t xml:space="preserve">у пациентов, у которых опухоль визуализировалась при помощи ССР. Это может свидетельствовать о том, что рецепторы соматостатина определяются </w:t>
      </w:r>
      <w:r>
        <w:rPr>
          <w:rStyle w:val="a6"/>
          <w:color w:val="000000"/>
          <w:sz w:val="24"/>
          <w:szCs w:val="24"/>
        </w:rPr>
        <w:t>in vivo</w:t>
      </w:r>
      <w:r>
        <w:rPr>
          <w:color w:val="000000"/>
          <w:sz w:val="24"/>
          <w:szCs w:val="24"/>
        </w:rPr>
        <w:t xml:space="preserve"> в более дифференцированных формах МРЩЖ. Таким образом, ССР чаще оказывается позитивной при относительно бол</w:t>
      </w:r>
      <w:r>
        <w:rPr>
          <w:color w:val="000000"/>
          <w:sz w:val="24"/>
          <w:szCs w:val="24"/>
        </w:rPr>
        <w:t>ее крупных опухолях и при высоком уровне опухолевых маркеров [</w:t>
      </w:r>
      <w:hyperlink r:id="rId26" w:anchor="22" w:history="1">
        <w:r>
          <w:rPr>
            <w:rStyle w:val="a4"/>
            <w:sz w:val="24"/>
            <w:szCs w:val="24"/>
          </w:rPr>
          <w:t>22</w:t>
        </w:r>
      </w:hyperlink>
      <w:r>
        <w:rPr>
          <w:color w:val="000000"/>
          <w:sz w:val="24"/>
          <w:szCs w:val="24"/>
        </w:rPr>
        <w:t>] и, видимо, менее информативно при микроскопических образованиях [</w:t>
      </w:r>
      <w:hyperlink r:id="rId27" w:anchor="22" w:history="1">
        <w:r>
          <w:rPr>
            <w:rStyle w:val="a4"/>
            <w:sz w:val="24"/>
            <w:szCs w:val="24"/>
          </w:rPr>
          <w:t>22</w:t>
        </w:r>
      </w:hyperlink>
      <w:r>
        <w:rPr>
          <w:color w:val="000000"/>
          <w:sz w:val="24"/>
          <w:szCs w:val="24"/>
        </w:rPr>
        <w:t>, 2</w:t>
      </w:r>
      <w:hyperlink r:id="rId28" w:anchor="3" w:history="1">
        <w:r>
          <w:rPr>
            <w:rStyle w:val="a4"/>
            <w:sz w:val="24"/>
            <w:szCs w:val="24"/>
          </w:rPr>
          <w:t>3</w:t>
        </w:r>
      </w:hyperlink>
      <w:r>
        <w:rPr>
          <w:color w:val="000000"/>
          <w:sz w:val="24"/>
          <w:szCs w:val="24"/>
        </w:rPr>
        <w:t xml:space="preserve">].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папиллярный, фоллику</w:t>
      </w:r>
      <w:r>
        <w:rPr>
          <w:color w:val="000000"/>
          <w:sz w:val="24"/>
          <w:szCs w:val="24"/>
        </w:rPr>
        <w:t>лярный, анапластический и гюртлеклеточный раки не относятся к группе классических нейроэндокринных опухолей, у большинства пациентов можно обнаружить лишь слабый захват меченного октреотида при ССР [</w:t>
      </w:r>
      <w:hyperlink r:id="rId29" w:anchor="24" w:history="1">
        <w:r>
          <w:rPr>
            <w:rStyle w:val="a4"/>
            <w:sz w:val="24"/>
            <w:szCs w:val="24"/>
          </w:rPr>
          <w:t>24</w:t>
        </w:r>
      </w:hyperlink>
      <w:r>
        <w:rPr>
          <w:color w:val="000000"/>
          <w:sz w:val="24"/>
          <w:szCs w:val="24"/>
        </w:rPr>
        <w:t xml:space="preserve">, </w:t>
      </w:r>
      <w:hyperlink r:id="rId30" w:anchor="25" w:history="1">
        <w:r>
          <w:rPr>
            <w:rStyle w:val="a4"/>
            <w:sz w:val="24"/>
            <w:szCs w:val="24"/>
          </w:rPr>
          <w:t>25</w:t>
        </w:r>
      </w:hyperlink>
      <w:r>
        <w:rPr>
          <w:color w:val="000000"/>
          <w:sz w:val="24"/>
          <w:szCs w:val="24"/>
        </w:rPr>
        <w:t>] .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видеть большее накопление опухолью [</w:t>
      </w:r>
      <w:r>
        <w:rPr>
          <w:color w:val="000000"/>
          <w:sz w:val="24"/>
          <w:szCs w:val="24"/>
          <w:vertAlign w:val="superscript"/>
        </w:rPr>
        <w:t>177</w:t>
      </w:r>
      <w:r>
        <w:rPr>
          <w:color w:val="000000"/>
          <w:sz w:val="24"/>
          <w:szCs w:val="24"/>
        </w:rPr>
        <w:t>Lu-DOTA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,Tyr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]-октреотата (</w:t>
      </w:r>
      <w:r>
        <w:rPr>
          <w:rStyle w:val="a6"/>
          <w:color w:val="000000"/>
          <w:sz w:val="24"/>
          <w:szCs w:val="24"/>
        </w:rPr>
        <w:t>слева вверху</w:t>
      </w:r>
      <w:r>
        <w:rPr>
          <w:color w:val="000000"/>
          <w:sz w:val="24"/>
          <w:szCs w:val="24"/>
        </w:rPr>
        <w:t>), по сравнению с [</w:t>
      </w:r>
      <w:r>
        <w:rPr>
          <w:color w:val="000000"/>
          <w:sz w:val="24"/>
          <w:szCs w:val="24"/>
          <w:vertAlign w:val="superscript"/>
        </w:rPr>
        <w:t>111</w:t>
      </w:r>
      <w:r>
        <w:rPr>
          <w:color w:val="000000"/>
          <w:sz w:val="24"/>
          <w:szCs w:val="24"/>
        </w:rPr>
        <w:t>In-DTPA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]-октреотидом (</w:t>
      </w:r>
      <w:r>
        <w:rPr>
          <w:rStyle w:val="a6"/>
          <w:color w:val="000000"/>
          <w:sz w:val="24"/>
          <w:szCs w:val="24"/>
        </w:rPr>
        <w:t>справа вверху</w:t>
      </w:r>
      <w:r>
        <w:rPr>
          <w:color w:val="000000"/>
          <w:sz w:val="24"/>
          <w:szCs w:val="24"/>
        </w:rPr>
        <w:t>), что обусловлено</w:t>
      </w:r>
      <w:r>
        <w:rPr>
          <w:color w:val="000000"/>
          <w:sz w:val="24"/>
          <w:szCs w:val="24"/>
        </w:rPr>
        <w:t xml:space="preserve"> большей афинностью 2-го типа соматостатиновых рецепторов к [</w:t>
      </w:r>
      <w:r>
        <w:rPr>
          <w:color w:val="000000"/>
          <w:sz w:val="24"/>
          <w:szCs w:val="24"/>
          <w:vertAlign w:val="superscript"/>
        </w:rPr>
        <w:t>177</w:t>
      </w:r>
      <w:r>
        <w:rPr>
          <w:color w:val="000000"/>
          <w:sz w:val="24"/>
          <w:szCs w:val="24"/>
        </w:rPr>
        <w:t>Lu-DOTA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,Tyr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]-октреотату. Пациент 8 раз получал терапию [</w:t>
      </w:r>
      <w:r>
        <w:rPr>
          <w:color w:val="000000"/>
          <w:sz w:val="24"/>
          <w:szCs w:val="24"/>
          <w:vertAlign w:val="superscript"/>
        </w:rPr>
        <w:t>177</w:t>
      </w:r>
      <w:r>
        <w:rPr>
          <w:color w:val="000000"/>
          <w:sz w:val="24"/>
          <w:szCs w:val="24"/>
        </w:rPr>
        <w:t>Lu-DOTA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,Tyr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]-октреотатом (стрелки внизу) с кумулятивной активностью 750 мКи (27,8 МБк), что, в конечном счете, привело к разрушен</w:t>
      </w:r>
      <w:r>
        <w:rPr>
          <w:color w:val="000000"/>
          <w:sz w:val="24"/>
          <w:szCs w:val="24"/>
        </w:rPr>
        <w:t>ию опухоли и снижению уровня тиреоглобулина (</w:t>
      </w:r>
      <w:r>
        <w:rPr>
          <w:rStyle w:val="a6"/>
          <w:color w:val="000000"/>
          <w:sz w:val="24"/>
          <w:szCs w:val="24"/>
        </w:rPr>
        <w:t>график</w:t>
      </w:r>
      <w:r>
        <w:rPr>
          <w:color w:val="000000"/>
          <w:sz w:val="24"/>
          <w:szCs w:val="24"/>
        </w:rPr>
        <w:t xml:space="preserve">).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этих случаях нет необходимости перед ССР проводить стимуляцию ТТГ [</w:t>
      </w:r>
      <w:hyperlink r:id="rId31" w:anchor="26" w:history="1">
        <w:r>
          <w:rPr>
            <w:rStyle w:val="a4"/>
            <w:sz w:val="24"/>
            <w:szCs w:val="24"/>
          </w:rPr>
          <w:t>26</w:t>
        </w:r>
      </w:hyperlink>
      <w:r>
        <w:rPr>
          <w:color w:val="000000"/>
          <w:sz w:val="24"/>
          <w:szCs w:val="24"/>
        </w:rPr>
        <w:t>]. Интересен тот факт, что в тех случаях, когда высокодифференцированный рак лишен способности накапливать радиоактивный йод, опухол</w:t>
      </w:r>
      <w:r>
        <w:rPr>
          <w:color w:val="000000"/>
          <w:sz w:val="24"/>
          <w:szCs w:val="24"/>
        </w:rPr>
        <w:t>ь в ряде случаев может аккумулировать меченный октреотид [</w:t>
      </w:r>
      <w:hyperlink r:id="rId32" w:anchor="24" w:history="1">
        <w:r>
          <w:rPr>
            <w:rStyle w:val="a4"/>
            <w:sz w:val="24"/>
            <w:szCs w:val="24"/>
          </w:rPr>
          <w:t>2</w:t>
        </w:r>
        <w:r>
          <w:rPr>
            <w:rStyle w:val="a4"/>
            <w:sz w:val="24"/>
            <w:szCs w:val="24"/>
          </w:rPr>
          <w:t>4</w:t>
        </w:r>
      </w:hyperlink>
      <w:r>
        <w:rPr>
          <w:color w:val="000000"/>
          <w:sz w:val="24"/>
          <w:szCs w:val="24"/>
        </w:rPr>
        <w:t>]. Для некоторых пациентов это открывает новые терапевтические возможности: оперативное лечение, если число метастазов не велико и/или терапия с использованием несущих радионуклиды белков, связывающихся с рецепторами опухоли (*</w:t>
      </w:r>
      <w:r>
        <w:rPr>
          <w:rStyle w:val="a6"/>
          <w:color w:val="000000"/>
          <w:sz w:val="24"/>
          <w:szCs w:val="24"/>
        </w:rPr>
        <w:t>возможно, не самый удачны</w:t>
      </w:r>
      <w:r>
        <w:rPr>
          <w:rStyle w:val="a6"/>
          <w:color w:val="000000"/>
          <w:sz w:val="24"/>
          <w:szCs w:val="24"/>
        </w:rPr>
        <w:t>й перевод термина "Peptide Receptor Radionuclide Therapy", сокращенно PRRT; в общем виде речь идет о лечении при помощи молекул, которые, с одной стороны являются белками, связывающимися с рецепторами опухоли, а с другой — несут радионуклид, который оказыв</w:t>
      </w:r>
      <w:r>
        <w:rPr>
          <w:rStyle w:val="a6"/>
          <w:color w:val="000000"/>
          <w:sz w:val="24"/>
          <w:szCs w:val="24"/>
        </w:rPr>
        <w:t>ает деструктивное влияние на опухолевые клетки, связавшие эту молекулу</w:t>
      </w:r>
      <w:r>
        <w:rPr>
          <w:color w:val="000000"/>
          <w:sz w:val="24"/>
          <w:szCs w:val="24"/>
        </w:rPr>
        <w:t>). ССР может служить двум целям: во-первых, визуализировать не видимые при помощи других методов метастазы, а во-вторых, позволяет выделить группу пациентов, у которых можно ожидать эффе</w:t>
      </w:r>
      <w:r>
        <w:rPr>
          <w:color w:val="000000"/>
          <w:sz w:val="24"/>
          <w:szCs w:val="24"/>
        </w:rPr>
        <w:t>кт от PRRT. Эту концепцию позволили выдвинуть многообещающие результаты лечения нейроэндокринных опухолей при помощи несущего источник бета-частиц аналога соматостатина [</w:t>
      </w:r>
      <w:hyperlink r:id="rId33" w:anchor="27" w:history="1">
        <w:r>
          <w:rPr>
            <w:rStyle w:val="a4"/>
            <w:sz w:val="24"/>
            <w:szCs w:val="24"/>
          </w:rPr>
          <w:t>27</w:t>
        </w:r>
      </w:hyperlink>
      <w:r>
        <w:rPr>
          <w:color w:val="000000"/>
          <w:sz w:val="24"/>
          <w:szCs w:val="24"/>
        </w:rPr>
        <w:t xml:space="preserve"> — </w:t>
      </w:r>
      <w:hyperlink r:id="rId34" w:anchor="30" w:history="1">
        <w:r>
          <w:rPr>
            <w:rStyle w:val="a4"/>
            <w:sz w:val="24"/>
            <w:szCs w:val="24"/>
          </w:rPr>
          <w:t>30</w:t>
        </w:r>
      </w:hyperlink>
      <w:r>
        <w:rPr>
          <w:color w:val="000000"/>
          <w:sz w:val="24"/>
          <w:szCs w:val="24"/>
        </w:rPr>
        <w:t xml:space="preserve">] (рис. 3).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PRRT были использованы бета-излучатели [</w:t>
      </w:r>
      <w:r>
        <w:rPr>
          <w:color w:val="000000"/>
          <w:sz w:val="24"/>
          <w:szCs w:val="24"/>
          <w:vertAlign w:val="superscript"/>
        </w:rPr>
        <w:t>90</w:t>
      </w:r>
      <w:r>
        <w:rPr>
          <w:color w:val="000000"/>
          <w:sz w:val="24"/>
          <w:szCs w:val="24"/>
        </w:rPr>
        <w:t>Y-DOTA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,Tyr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]-октреотат и [</w:t>
      </w:r>
      <w:r>
        <w:rPr>
          <w:color w:val="000000"/>
          <w:sz w:val="24"/>
          <w:szCs w:val="24"/>
          <w:vertAlign w:val="superscript"/>
        </w:rPr>
        <w:t>177</w:t>
      </w:r>
      <w:r>
        <w:rPr>
          <w:color w:val="000000"/>
          <w:sz w:val="24"/>
          <w:szCs w:val="24"/>
        </w:rPr>
        <w:t>Lu-DOTA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,Tyr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]-октреотат, которые в 3 — 4 раза интенсивней захватываются нейроэндокринными опухолями по</w:t>
      </w:r>
      <w:r>
        <w:rPr>
          <w:color w:val="000000"/>
          <w:sz w:val="24"/>
          <w:szCs w:val="24"/>
        </w:rPr>
        <w:t xml:space="preserve"> сравнению с [</w:t>
      </w:r>
      <w:r>
        <w:rPr>
          <w:color w:val="000000"/>
          <w:sz w:val="24"/>
          <w:szCs w:val="24"/>
          <w:vertAlign w:val="superscript"/>
        </w:rPr>
        <w:t>111</w:t>
      </w:r>
      <w:r>
        <w:rPr>
          <w:color w:val="000000"/>
          <w:sz w:val="24"/>
          <w:szCs w:val="24"/>
        </w:rPr>
        <w:t>In-DTPA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]-октреотида [</w:t>
      </w:r>
      <w:hyperlink r:id="rId35" w:anchor="31" w:history="1">
        <w:r>
          <w:rPr>
            <w:rStyle w:val="a4"/>
            <w:sz w:val="24"/>
            <w:szCs w:val="24"/>
          </w:rPr>
          <w:t>31</w:t>
        </w:r>
      </w:hyperlink>
      <w:r>
        <w:rPr>
          <w:color w:val="000000"/>
          <w:sz w:val="24"/>
          <w:szCs w:val="24"/>
        </w:rPr>
        <w:t xml:space="preserve">]. PRRT с этими </w:t>
      </w:r>
      <w:r>
        <w:rPr>
          <w:color w:val="000000"/>
          <w:sz w:val="24"/>
          <w:szCs w:val="24"/>
        </w:rPr>
        <w:t>препаратами оказывает противоопухолевый эффект примерно у 2/3 пациентов с нейроэндокринными опухолями. Необходимо иметь в виду, что захват этих препаратов клетками медуллярного рака достаточно низок, если его сравнивать с таковым для других нейроэндокринны</w:t>
      </w:r>
      <w:r>
        <w:rPr>
          <w:color w:val="000000"/>
          <w:sz w:val="24"/>
          <w:szCs w:val="24"/>
        </w:rPr>
        <w:t>х опухолей, таких как карциноид и эндокринные панкреатические опухоли. По нашему опыту, у большинства пациентов с ВДР захват опухолью [</w:t>
      </w:r>
      <w:r>
        <w:rPr>
          <w:color w:val="000000"/>
          <w:sz w:val="24"/>
          <w:szCs w:val="24"/>
          <w:vertAlign w:val="superscript"/>
        </w:rPr>
        <w:t>177</w:t>
      </w:r>
      <w:r>
        <w:rPr>
          <w:color w:val="000000"/>
          <w:sz w:val="24"/>
          <w:szCs w:val="24"/>
        </w:rPr>
        <w:t>Lu-DOTA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,Tyr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]-октреотата не превышает таковой для [</w:t>
      </w:r>
      <w:r>
        <w:rPr>
          <w:color w:val="000000"/>
          <w:sz w:val="24"/>
          <w:szCs w:val="24"/>
          <w:vertAlign w:val="superscript"/>
        </w:rPr>
        <w:t>111</w:t>
      </w:r>
      <w:r>
        <w:rPr>
          <w:color w:val="000000"/>
          <w:sz w:val="24"/>
          <w:szCs w:val="24"/>
        </w:rPr>
        <w:t>In-DTPA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]-октреотида. Наиболее вероятно, это связано с тем, что</w:t>
      </w:r>
      <w:r>
        <w:rPr>
          <w:color w:val="000000"/>
          <w:sz w:val="24"/>
          <w:szCs w:val="24"/>
        </w:rPr>
        <w:t xml:space="preserve"> в этих опухолях экспрессируются не рецепторы соматостатина 2-го типа, а другие подтипы этих рецепторов, что согласуется с данными экспериментальных исследований </w:t>
      </w:r>
      <w:r>
        <w:rPr>
          <w:rStyle w:val="a6"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 xml:space="preserve"> </w:t>
      </w:r>
      <w:r>
        <w:rPr>
          <w:rStyle w:val="a6"/>
          <w:color w:val="000000"/>
          <w:sz w:val="24"/>
          <w:szCs w:val="24"/>
        </w:rPr>
        <w:t>vitro</w:t>
      </w:r>
      <w:r>
        <w:rPr>
          <w:color w:val="000000"/>
          <w:sz w:val="24"/>
          <w:szCs w:val="24"/>
        </w:rPr>
        <w:t>, которые показали, что в линии клеток рака щитовидной железы преимущественно определя</w:t>
      </w:r>
      <w:r>
        <w:rPr>
          <w:color w:val="000000"/>
          <w:sz w:val="24"/>
          <w:szCs w:val="24"/>
        </w:rPr>
        <w:t>ется мРНК рецепторов соматостатина 3 и 5 типа, и лишь небольшие количества мРНК рецептора 2-го типа [</w:t>
      </w:r>
      <w:hyperlink r:id="rId36" w:anchor="32" w:history="1">
        <w:r>
          <w:rPr>
            <w:rStyle w:val="a4"/>
            <w:sz w:val="24"/>
            <w:szCs w:val="24"/>
          </w:rPr>
          <w:t>32</w:t>
        </w:r>
      </w:hyperlink>
      <w:r>
        <w:rPr>
          <w:color w:val="000000"/>
          <w:sz w:val="24"/>
          <w:szCs w:val="24"/>
        </w:rPr>
        <w:t>]. [</w:t>
      </w:r>
      <w:r>
        <w:rPr>
          <w:color w:val="000000"/>
          <w:sz w:val="24"/>
          <w:szCs w:val="24"/>
          <w:vertAlign w:val="superscript"/>
        </w:rPr>
        <w:t>90</w:t>
      </w:r>
      <w:r>
        <w:rPr>
          <w:color w:val="000000"/>
          <w:sz w:val="24"/>
          <w:szCs w:val="24"/>
        </w:rPr>
        <w:t>Y-DOTA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,Tyr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]-октреотат имеет большую афинность к 5-му типу рецепторов соматостатина, по сравнению с [</w:t>
      </w:r>
      <w:r>
        <w:rPr>
          <w:color w:val="000000"/>
          <w:sz w:val="24"/>
          <w:szCs w:val="24"/>
          <w:vertAlign w:val="superscript"/>
        </w:rPr>
        <w:t>177</w:t>
      </w:r>
      <w:r>
        <w:rPr>
          <w:color w:val="000000"/>
          <w:sz w:val="24"/>
          <w:szCs w:val="24"/>
        </w:rPr>
        <w:t>Lu-DOTA</w:t>
      </w:r>
      <w:r>
        <w:rPr>
          <w:color w:val="000000"/>
          <w:sz w:val="24"/>
          <w:szCs w:val="24"/>
          <w:vertAlign w:val="superscript"/>
        </w:rPr>
        <w:t>0</w:t>
      </w:r>
      <w:r>
        <w:rPr>
          <w:color w:val="000000"/>
          <w:sz w:val="24"/>
          <w:szCs w:val="24"/>
        </w:rPr>
        <w:t>,Tyr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]-октреотатом, но эффективность последнего в PRRT при МРЩЖ ещё нужно показать. Можно п</w:t>
      </w:r>
      <w:r>
        <w:rPr>
          <w:color w:val="000000"/>
          <w:sz w:val="24"/>
          <w:szCs w:val="24"/>
        </w:rPr>
        <w:t xml:space="preserve">редположить, что в ближайшем будущем для ССР и PRRT будут предложены новые аналоги соматостатина, которые наряду с высокой афинностью к рецепторам 2-го типа, будут иметь высокую афинность к рецепторам 3-го и 5-го типов. Это откроет новую эру в диагностике </w:t>
      </w:r>
      <w:r>
        <w:rPr>
          <w:color w:val="000000"/>
          <w:sz w:val="24"/>
          <w:szCs w:val="24"/>
        </w:rPr>
        <w:t xml:space="preserve">и лечении дифференцированного рака щитовидной железы.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Определяется нормальный захват препарата в печени и желудке (</w:t>
      </w:r>
      <w:r>
        <w:rPr>
          <w:rStyle w:val="a6"/>
          <w:color w:val="000000"/>
          <w:sz w:val="24"/>
          <w:szCs w:val="24"/>
        </w:rPr>
        <w:t>нижняя часть сцинтиграммы</w:t>
      </w:r>
      <w:r>
        <w:rPr>
          <w:color w:val="000000"/>
          <w:sz w:val="24"/>
          <w:szCs w:val="24"/>
        </w:rPr>
        <w:t>) и аккумуляция препарата в области предполагаемого, но пока не доказанного метастаза опухоли (</w:t>
      </w:r>
      <w:r>
        <w:rPr>
          <w:rStyle w:val="a6"/>
          <w:color w:val="000000"/>
          <w:sz w:val="24"/>
          <w:szCs w:val="24"/>
        </w:rPr>
        <w:t>стрелка</w:t>
      </w:r>
      <w:r>
        <w:rPr>
          <w:color w:val="000000"/>
          <w:sz w:val="24"/>
          <w:szCs w:val="24"/>
        </w:rPr>
        <w:t xml:space="preserve">).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Рецепторы</w:t>
      </w:r>
      <w:r>
        <w:rPr>
          <w:color w:val="000000"/>
          <w:sz w:val="24"/>
          <w:szCs w:val="24"/>
        </w:rPr>
        <w:t xml:space="preserve"> к холецистокинину-В (CCK-B), которые связывают как ССК, так и гастрин, были обнаружены на клетках МРЩЖ [</w:t>
      </w:r>
      <w:hyperlink r:id="rId37" w:anchor="33" w:history="1">
        <w:r>
          <w:rPr>
            <w:rStyle w:val="a4"/>
            <w:sz w:val="24"/>
            <w:szCs w:val="24"/>
          </w:rPr>
          <w:t>33</w:t>
        </w:r>
      </w:hyperlink>
      <w:r>
        <w:rPr>
          <w:color w:val="000000"/>
          <w:sz w:val="24"/>
          <w:szCs w:val="24"/>
        </w:rPr>
        <w:t>]. На этом факте видимо базируется хорошо известный тест с пентагастрином, при введении которого происходит стимуляция С-клеток и повышение уровня кальцитонина. В исследовании, в которое были включены 7 пац</w:t>
      </w:r>
      <w:r>
        <w:rPr>
          <w:color w:val="000000"/>
          <w:sz w:val="24"/>
          <w:szCs w:val="24"/>
        </w:rPr>
        <w:t xml:space="preserve">иентов с доказанным МРЩЖ, при сцинтиграфии с аналогом ССК, меченным </w:t>
      </w:r>
      <w:r>
        <w:rPr>
          <w:color w:val="000000"/>
          <w:sz w:val="24"/>
          <w:szCs w:val="24"/>
          <w:vertAlign w:val="superscript"/>
        </w:rPr>
        <w:t>111</w:t>
      </w:r>
      <w:r>
        <w:rPr>
          <w:color w:val="000000"/>
          <w:sz w:val="24"/>
          <w:szCs w:val="24"/>
        </w:rPr>
        <w:t>In, опухоли были визуализированы в 2 случаях [</w:t>
      </w:r>
      <w:hyperlink r:id="rId38" w:anchor="34" w:history="1">
        <w:r>
          <w:rPr>
            <w:rStyle w:val="a4"/>
            <w:sz w:val="24"/>
            <w:szCs w:val="24"/>
          </w:rPr>
          <w:t>34</w:t>
        </w:r>
      </w:hyperlink>
      <w:r>
        <w:rPr>
          <w:color w:val="000000"/>
          <w:sz w:val="24"/>
          <w:szCs w:val="24"/>
        </w:rPr>
        <w:t xml:space="preserve">]. Захват препарата был, тем не менее, мал (рис. 4).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T.M. Behr и M.P. Béhé, при использовании сцинтиграфии с различными белковыми аналогами, удалось продемонстрировать локализацию метастазов оп</w:t>
      </w:r>
      <w:r>
        <w:rPr>
          <w:color w:val="000000"/>
          <w:sz w:val="24"/>
          <w:szCs w:val="24"/>
        </w:rPr>
        <w:t>ухоли у всех 23 обследованных пациентов с МРЩЖ, которые обнаруживались другими методами, а также у 20 из 22 пациентов с оккультно протекающим МРЩЖ [</w:t>
      </w:r>
      <w:hyperlink r:id="rId39" w:anchor="35" w:history="1">
        <w:r>
          <w:rPr>
            <w:rStyle w:val="a4"/>
            <w:sz w:val="24"/>
            <w:szCs w:val="24"/>
          </w:rPr>
          <w:t>35</w:t>
        </w:r>
      </w:hyperlink>
      <w:r>
        <w:rPr>
          <w:color w:val="000000"/>
          <w:sz w:val="24"/>
          <w:szCs w:val="24"/>
        </w:rPr>
        <w:t xml:space="preserve">]. В дальнейшем, они проводили лечение с аналогом гастрина, меченным </w:t>
      </w:r>
      <w:r>
        <w:rPr>
          <w:color w:val="000000"/>
          <w:sz w:val="24"/>
          <w:szCs w:val="24"/>
          <w:vertAlign w:val="superscript"/>
        </w:rPr>
        <w:t>90</w:t>
      </w:r>
      <w:r>
        <w:rPr>
          <w:color w:val="000000"/>
          <w:sz w:val="24"/>
          <w:szCs w:val="24"/>
        </w:rPr>
        <w:t>Y и получили многообещающие результаты. Такие побочные эффекты этой терапии, как миелодиспл</w:t>
      </w:r>
      <w:r>
        <w:rPr>
          <w:color w:val="000000"/>
          <w:sz w:val="24"/>
          <w:szCs w:val="24"/>
        </w:rPr>
        <w:t xml:space="preserve">астический синдром и нефротоксичность остаются предметом для исследования. </w:t>
      </w:r>
    </w:p>
    <w:p w:rsidR="00000000" w:rsidRDefault="00D91E4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Сцинтиграфия щитовидной железы и терапия радиоактивным йодом остаются ключевыми методами диагностики и лечения заболеваний щитовидной железы. У пациентов с метастазами </w:t>
      </w:r>
      <w:r>
        <w:rPr>
          <w:color w:val="000000"/>
          <w:sz w:val="24"/>
          <w:szCs w:val="24"/>
        </w:rPr>
        <w:t>рака щитовидной железы, которые не накапливают йод, в настоящее время могут использоваться другие визуализирующие методы. Среди них - 18FDG-ПЭТ обладает высокой чувствительностью и хорошим качеством визуализации. Комбинированное использование ПЭТ и компьют</w:t>
      </w:r>
      <w:r>
        <w:rPr>
          <w:color w:val="000000"/>
          <w:sz w:val="24"/>
          <w:szCs w:val="24"/>
        </w:rPr>
        <w:t>ерной томографии в перспективе должно значительно увеличить информативность 18FDG-ПЭТ. Сцинтиграфия рецепторов пептидов и радионуклидная терапия с аналогами соматостатина, а в ближайшем будущем с другими пептидами, такими, например, как аналоги соматостати</w:t>
      </w:r>
      <w:r>
        <w:rPr>
          <w:color w:val="000000"/>
          <w:sz w:val="24"/>
          <w:szCs w:val="24"/>
        </w:rPr>
        <w:t xml:space="preserve">на, может приобрести большое значение в лечении больных с ВДР и МРЩЖ. Если захват опухолью радионуклида достаточно высок, после диагностического сканирования может быть назначена PRRT, либо каким-то одним радиоактивным препаратом, либо их комбинацией. </w:t>
      </w:r>
    </w:p>
    <w:p w:rsidR="00000000" w:rsidRDefault="00D91E4E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Спи</w:t>
      </w:r>
      <w:r>
        <w:rPr>
          <w:b/>
          <w:bCs/>
          <w:color w:val="000000"/>
          <w:sz w:val="28"/>
          <w:szCs w:val="28"/>
        </w:rPr>
        <w:t>сок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Cassen B., Curtis L., Reed C., Libby R. Instrumentation for 131I use in medical studies. // Nucleonics — 1951 — Vol. 9. — P. 46-50.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Psarra R.A., Papadopoulos S.N., Livada D., et al. The single thyroid nodule. // Br J Surg — 1974 — Vol. 59. </w:t>
      </w:r>
      <w:r>
        <w:rPr>
          <w:color w:val="000000"/>
          <w:sz w:val="24"/>
          <w:szCs w:val="24"/>
          <w:lang w:val="en-US"/>
        </w:rPr>
        <w:t xml:space="preserve">— P. 545 - 548.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Kwekkeboom D.J., Reubi J.C., Lamberts S., et al. In vivo somatostatin receptor imaging in medullary thyroid carcinoma. // J Clin Endocrinol Metab — 1993 — Vol. 76 — P. 1413-1417.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Joensuu H., Ahonen A., Klemi P.J. 18F-fluorodeoxyglucose im</w:t>
      </w:r>
      <w:r>
        <w:rPr>
          <w:color w:val="000000"/>
          <w:sz w:val="24"/>
          <w:szCs w:val="24"/>
          <w:lang w:val="en-US"/>
        </w:rPr>
        <w:t xml:space="preserve">aging in preoperative diagnosis of thyroid malignancy. // Eur J Nucl Med — 1988 — Vol. 13. — P. 502-506.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El-desouki M. Tl-201 thyroid imaging in differentiating benign from malignant thyroid nodules. // Clin Nucl Med — 1991 — Vol. 16. — P. 225-230.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Folde</w:t>
      </w:r>
      <w:r>
        <w:rPr>
          <w:color w:val="000000"/>
          <w:sz w:val="24"/>
          <w:szCs w:val="24"/>
          <w:lang w:val="en-US"/>
        </w:rPr>
        <w:t xml:space="preserve">s I., Levay A., Stotz G. Comparative scanning of thyroid nodules with technetium-99m pertechnetate and technetium-99m methoxyisobutilisonitrile. // Eur J Nucl Med — 1993 — Vol. 20. — P. 330-333.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Muranake A. Accumulation of radioisotopes with tumor affinit</w:t>
      </w:r>
      <w:r>
        <w:rPr>
          <w:color w:val="000000"/>
          <w:sz w:val="24"/>
          <w:szCs w:val="24"/>
          <w:lang w:val="en-US"/>
        </w:rPr>
        <w:t xml:space="preserve">y, II. Comparison of the tumor accumulation of Ga-67 citrate and thallium-201 chloride in vitro. // Acta Med Okayama — 1981 — P. 35. — P. 85-101.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Sessler M.J., Geek P., Maul F.D., et al. New aspects of cellular Tl-201 uptake T+Na+-2Cl-cotransport is the c</w:t>
      </w:r>
      <w:r>
        <w:rPr>
          <w:color w:val="000000"/>
          <w:sz w:val="24"/>
          <w:szCs w:val="24"/>
          <w:lang w:val="en-US"/>
        </w:rPr>
        <w:t xml:space="preserve">entral mechanism of ion uptake. // J Nucl Med — 1986 — Vol. 25. — P. 24-27.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Hoefnagel C.A., Delprat C.C., Marcuse H.R., de Vijlder J. Role of thallium-201 total-body scintigraphy in follow-up of thyroid carcinoma. // J Nucl Med 1986 — Vol. 27. — P. 1854-1</w:t>
      </w:r>
      <w:r>
        <w:rPr>
          <w:color w:val="000000"/>
          <w:sz w:val="24"/>
          <w:szCs w:val="24"/>
          <w:lang w:val="en-US"/>
        </w:rPr>
        <w:t xml:space="preserve">857.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Ramanna L., Waxman A., Braunstein G. Thallium-201 scintigraphy in differentiated thyroid cancer: comparison with radioiodine scintigraphy and serum thyroglobulin determinations. // J Nucl Med — 1991 — Vol. 32 — P. 441-445.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Iida Y., Hidaka A., Hatabu</w:t>
      </w:r>
      <w:r>
        <w:rPr>
          <w:color w:val="000000"/>
          <w:sz w:val="24"/>
          <w:szCs w:val="24"/>
          <w:lang w:val="en-US"/>
        </w:rPr>
        <w:t xml:space="preserve"> H., et al. Follow-up study of postoperative patients with thyroid cancer by thallium-201 scintigraphy and serum thyroglobulin measurement. // J Nucl Med — 1991 — Vol. 32. — P. 2098-2100.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Dadparvar S., Krishna L., Brady L., et al. The role of iodine-131 a</w:t>
      </w:r>
      <w:r>
        <w:rPr>
          <w:color w:val="000000"/>
          <w:sz w:val="24"/>
          <w:szCs w:val="24"/>
          <w:lang w:val="en-US"/>
        </w:rPr>
        <w:t xml:space="preserve">nd thallium-201 imaging and serum thyroglobulin in the management of differentiated thyroid carcinoma. // Cancer - 1993 — Vol. 71. — P. 3767-3773.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O'Driscoll C.M., Baker F., Casey M.J., Duffy G.J. Localization of recurrent medullary thyroid carcinoma with</w:t>
      </w:r>
      <w:r>
        <w:rPr>
          <w:color w:val="000000"/>
          <w:sz w:val="24"/>
          <w:szCs w:val="24"/>
          <w:lang w:val="en-US"/>
        </w:rPr>
        <w:t xml:space="preserve"> technetium-99m-methoxyisobutylnitrile scintigraphy: a case report. // J Nucl Med — 1991 — Vol. 32. — P. 2281-2283.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Briele B., Hotze A.L., Kropp J., et al. Comparison of 99mTc-MIBI and Tl-201-chloride in the follow-up of patients with differentiated thyro</w:t>
      </w:r>
      <w:r>
        <w:rPr>
          <w:color w:val="000000"/>
          <w:sz w:val="24"/>
          <w:szCs w:val="24"/>
          <w:lang w:val="en-US"/>
        </w:rPr>
        <w:t xml:space="preserve">id carcinoma. // J Nucl Med — 1992 — Vol. 33. — P. 844.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Mojiminiyi O.A., Udelsman R., Soper N.D., et al. Pentavalent Tc-99m DMSA scintigraphy. Prospective evaluation of its role in the management of patients with medullary carcinoma of the thyroid. // Cli</w:t>
      </w:r>
      <w:r>
        <w:rPr>
          <w:color w:val="000000"/>
          <w:sz w:val="24"/>
          <w:szCs w:val="24"/>
          <w:lang w:val="en-US"/>
        </w:rPr>
        <w:t xml:space="preserve">n Nucl Med. — 1991 — Vol. 16 — P. 259-262.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Frilling A., Tecklenborg K., Gorges R., et al. Preoperative diagnostic value of [(18)F] fluorodeoxyglucose positron emission tomography in patients with radioiodine-negative recurrent well-differentiated thyroid </w:t>
      </w:r>
      <w:r>
        <w:rPr>
          <w:color w:val="000000"/>
          <w:sz w:val="24"/>
          <w:szCs w:val="24"/>
          <w:lang w:val="en-US"/>
        </w:rPr>
        <w:t xml:space="preserve">carcinoma. // Ann Surg — 2001 — Vol. 234. — P. 804-811.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Diehl M., Risse J.H., Brandt-Mainz K., et al. Fluorine-18 fluorodeoxyglucose positron emission tomography in medullary thyroid cancer: results of a multicentre study. // Eur J Nucl Med — 2001 — Vol. </w:t>
      </w:r>
      <w:r>
        <w:rPr>
          <w:color w:val="000000"/>
          <w:sz w:val="24"/>
          <w:szCs w:val="24"/>
          <w:lang w:val="en-US"/>
        </w:rPr>
        <w:t xml:space="preserve">28. — P. 1671-1676.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Helal B.O., Merlet P., Toubert M.E., et al. Clinical impact of (18)F-FDG PET in thyroid carcinoma patients with elevated thyroglobulin levels and negative (131)I scanning results after therapy. // J Nucl Med — 2001 — Vol. 42. — P. 1464</w:t>
      </w:r>
      <w:r>
        <w:rPr>
          <w:color w:val="000000"/>
          <w:sz w:val="24"/>
          <w:szCs w:val="24"/>
          <w:lang w:val="en-US"/>
        </w:rPr>
        <w:t xml:space="preserve"> - 1469.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Shiga T., Tsukamoto E., Nakada K., et al. Comparison of (18)F-FDG, (131)I-Na, and (201)Tl in diagnosis of recurrent or metastatic thyroid carcinoma. // J Nucl Med — 2001 — Vol. 42. — P. 414-419.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Petrich T., Borner A.R., Otto D., et al. Influence of rhTSH on [(18)F]fluorodeoxyglucose uptake by differentiated thyroid carcinoma. // Eur J Nucl Med — 2002 — Vol. 29. — P. 641-647.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Van Tol K.M., Jager P.L., Piers D.A., et al. Better yield of 18Fluorodeo</w:t>
      </w:r>
      <w:r>
        <w:rPr>
          <w:color w:val="000000"/>
          <w:sz w:val="24"/>
          <w:szCs w:val="24"/>
          <w:lang w:val="en-US"/>
        </w:rPr>
        <w:t xml:space="preserve">xyglucose-Positron Emission Tomography in patients with metastatic differentiated thyroid carcinoma during thyrotropin stimulation. // Thyroid — 2002 — Vol. 12. — P. 381-387.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Tisell L.E., Ahlman H., Wangberg B., et al. Somatostatin receptor scintigraphy i</w:t>
      </w:r>
      <w:r>
        <w:rPr>
          <w:color w:val="000000"/>
          <w:sz w:val="24"/>
          <w:szCs w:val="24"/>
          <w:lang w:val="en-US"/>
        </w:rPr>
        <w:t xml:space="preserve">n medullary thyroid carcinoma. // Br J Surg — 1997 — Vol. 84. — P. 543-547.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Adams S., Baum R.P., Hertel A., et al. Comparison of metabolic and receptor imaging in recurrent medullary thyroid carcinoma with histopathological findings. // Eur J Nucl Med — 1</w:t>
      </w:r>
      <w:r>
        <w:rPr>
          <w:color w:val="000000"/>
          <w:sz w:val="24"/>
          <w:szCs w:val="24"/>
          <w:lang w:val="en-US"/>
        </w:rPr>
        <w:t xml:space="preserve">998 — Vol. 25. — P. 1277 — 1283.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Postema P., De Herder W., Reubi J.C., et al. Somatostatin receptor scintigraphy in nonmedullary thyroid cancer. // Digestion — 1996 — Vol. 1 (Suppl.). — P. 36-37.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Gulec S.A., Serafini A.N., Sridhar K.S., et al. Somatostat</w:t>
      </w:r>
      <w:r>
        <w:rPr>
          <w:color w:val="000000"/>
          <w:sz w:val="24"/>
          <w:szCs w:val="24"/>
          <w:lang w:val="en-US"/>
        </w:rPr>
        <w:t xml:space="preserve">in receptor expression in Hurthle cell cancer of the thyroid. // J Nucl Med — 1998 — Vol. 39. — P. 243-245.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Haslinghuis L.M., Krenning E.P., de Herder W.W., et al. Somatostatin receptor scintigraphy in the follow-up of patients with differentiated thyroid</w:t>
      </w:r>
      <w:r>
        <w:rPr>
          <w:color w:val="000000"/>
          <w:sz w:val="24"/>
          <w:szCs w:val="24"/>
          <w:lang w:val="en-US"/>
        </w:rPr>
        <w:t xml:space="preserve"> cancer. // J Endocrinol Invest — 2001 — Vol. 24. — P. 415-422.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Waldherr C., Pless M., Maecke H.R., et al. The clinical value of [90YDOTA]- D-Phe1-Tyr3-octreotide (90Y-DOTATOC) in the treatment of neuroendocrine tumours: a clinical phase II study. // Ann </w:t>
      </w:r>
      <w:r>
        <w:rPr>
          <w:color w:val="000000"/>
          <w:sz w:val="24"/>
          <w:szCs w:val="24"/>
          <w:lang w:val="en-US"/>
        </w:rPr>
        <w:t xml:space="preserve">Oncol — 2001 — Vol. 12. — P. 941- 945.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Paganelli G., Zoboli S., Cremonesi M., et al. Receptormediated radiotherapy with 90Y-DOTA-D-Phe1- Tyr3-octreotide. // Eur J Nucl Med — 2001 — Vol. 28. — P. 426-434.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Valkema R., Jamar F., Bakker W.H., et al. Safety a</w:t>
      </w:r>
      <w:r>
        <w:rPr>
          <w:color w:val="000000"/>
          <w:sz w:val="24"/>
          <w:szCs w:val="24"/>
          <w:lang w:val="en-US"/>
        </w:rPr>
        <w:t xml:space="preserve">nd efficacy of [Y-90-DOTA,Tyr(3)]- octreotide (Y-90-SMT487;OctreoTher) peptide receptor radionuclide therapy (PRRT). Preliminary results of a phase-1 study. // Eur J Nucl Med — 2001 — Vol. 28. — P. 1025.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Kwekkeboom D.J., Kam B.L., Bakker W.H., et al. Trea</w:t>
      </w:r>
      <w:r>
        <w:rPr>
          <w:color w:val="000000"/>
          <w:sz w:val="24"/>
          <w:szCs w:val="24"/>
          <w:lang w:val="en-US"/>
        </w:rPr>
        <w:t xml:space="preserve">tment with 177Lu-DOTA-Tyr3-octreotate in patients with somatostatin receptor positive tumors. // J Nucl Med — 2002 — Vol. 43. — 34P.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Kwekkeboom D.J., Bakker W.H., Kooij P.P., et al. [177Lu- DOTA0Tyr3]octreotate: comparison with [111In-DTPA0]octreotide in </w:t>
      </w:r>
      <w:r>
        <w:rPr>
          <w:color w:val="000000"/>
          <w:sz w:val="24"/>
          <w:szCs w:val="24"/>
          <w:lang w:val="en-US"/>
        </w:rPr>
        <w:t xml:space="preserve">patients. // Eur J Nucl Med — 2001 — Vol. 28. — P. 1319-1325.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Ain K.B., Taylor K.D., Tofiq S., Venkataraman G. Somatostatin receptor subtype expression in human thyroid and thyroid carcinoma cell lines. // J Clin Endocrinol Metab — 1997 — Vol. 82. — P. 18</w:t>
      </w:r>
      <w:r>
        <w:rPr>
          <w:color w:val="000000"/>
          <w:sz w:val="24"/>
          <w:szCs w:val="24"/>
          <w:lang w:val="en-US"/>
        </w:rPr>
        <w:t xml:space="preserve">57-1862.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Reubi J.C., Waser B. Unexpected high incidence of cholecystokinin-B/gastrin receptors in human medullary thyroid carcinomas. // Int J Cancer - 1996 — Vol. 67 — P. 644-647. </w:t>
      </w:r>
    </w:p>
    <w:p w:rsidR="00000000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Kwekkeboom D.J., Bakker W.H., Kooij P., et al. Cholecystokinin receptor i</w:t>
      </w:r>
      <w:r>
        <w:rPr>
          <w:color w:val="000000"/>
          <w:sz w:val="24"/>
          <w:szCs w:val="24"/>
          <w:lang w:val="en-US"/>
        </w:rPr>
        <w:t xml:space="preserve">maging using an octapeptide DTPA-CCK analogue in patients with medullary thyroid carcinoma. // Eur J Nucl Med — 2000 — Vol. 27. — P. 1312-1317. </w:t>
      </w:r>
    </w:p>
    <w:p w:rsidR="00D91E4E" w:rsidRDefault="00D91E4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Behr TM, B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  <w:lang w:val="en-US"/>
        </w:rPr>
        <w:t>h</w:t>
      </w:r>
      <w:r>
        <w:rPr>
          <w:color w:val="000000"/>
          <w:sz w:val="24"/>
          <w:szCs w:val="24"/>
        </w:rPr>
        <w:t>й</w:t>
      </w:r>
      <w:r>
        <w:rPr>
          <w:color w:val="000000"/>
          <w:sz w:val="24"/>
          <w:szCs w:val="24"/>
          <w:lang w:val="en-US"/>
        </w:rPr>
        <w:t xml:space="preserve"> MP. Cholecystokinin-B/Gastrin receptor-targeting peptides for staging and therapy of medullary th</w:t>
      </w:r>
      <w:r>
        <w:rPr>
          <w:color w:val="000000"/>
          <w:sz w:val="24"/>
          <w:szCs w:val="24"/>
          <w:lang w:val="en-US"/>
        </w:rPr>
        <w:t xml:space="preserve">yroid cancer and other cholecystokinin- B receptor-expressing malignancies. // Sem Nucl Med - 2002 — Vol. 32. — P. 97-109. </w:t>
      </w:r>
    </w:p>
    <w:sectPr w:rsidR="00D91E4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B6"/>
    <w:rsid w:val="002A63B6"/>
    <w:rsid w:val="00D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yronet.rusmedserv.com/th_spec/thyr-1-03-1.html" TargetMode="External"/><Relationship Id="rId13" Type="http://schemas.openxmlformats.org/officeDocument/2006/relationships/hyperlink" Target="http://thyronet.rusmedserv.com/th_spec/thyr-1-03-1.html" TargetMode="External"/><Relationship Id="rId18" Type="http://schemas.openxmlformats.org/officeDocument/2006/relationships/hyperlink" Target="http://thyronet.rusmedserv.com/th_spec/thyr-1-03-1.html" TargetMode="External"/><Relationship Id="rId26" Type="http://schemas.openxmlformats.org/officeDocument/2006/relationships/hyperlink" Target="http://thyronet.rusmedserv.com/th_spec/thyr-1-03-1.html" TargetMode="External"/><Relationship Id="rId39" Type="http://schemas.openxmlformats.org/officeDocument/2006/relationships/hyperlink" Target="http://thyronet.rusmedserv.com/th_spec/thyr-1-03-1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hyronet.rusmedserv.com/th_spec/thyr-1-03-1.html" TargetMode="External"/><Relationship Id="rId34" Type="http://schemas.openxmlformats.org/officeDocument/2006/relationships/hyperlink" Target="http://thyronet.rusmedserv.com/th_spec/thyr-1-03-1.html" TargetMode="External"/><Relationship Id="rId7" Type="http://schemas.openxmlformats.org/officeDocument/2006/relationships/hyperlink" Target="http://thyronet.rusmedserv.com/th_spec/thyr-1-03-1.html" TargetMode="External"/><Relationship Id="rId12" Type="http://schemas.openxmlformats.org/officeDocument/2006/relationships/hyperlink" Target="http://thyronet.rusmedserv.com/th_spec/thyr-1-03-1.html" TargetMode="External"/><Relationship Id="rId17" Type="http://schemas.openxmlformats.org/officeDocument/2006/relationships/hyperlink" Target="http://thyronet.rusmedserv.com/th_spec/thyr-1-03-1.html" TargetMode="External"/><Relationship Id="rId25" Type="http://schemas.openxmlformats.org/officeDocument/2006/relationships/hyperlink" Target="http://thyronet.rusmedserv.com/th_spec/thyr-1-03-1.html" TargetMode="External"/><Relationship Id="rId33" Type="http://schemas.openxmlformats.org/officeDocument/2006/relationships/hyperlink" Target="http://thyronet.rusmedserv.com/th_spec/thyr-1-03-1.html" TargetMode="External"/><Relationship Id="rId38" Type="http://schemas.openxmlformats.org/officeDocument/2006/relationships/hyperlink" Target="http://thyronet.rusmedserv.com/th_spec/thyr-1-03-1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thyronet.rusmedserv.com/th_spec/thyr-1-03-1.html" TargetMode="External"/><Relationship Id="rId20" Type="http://schemas.openxmlformats.org/officeDocument/2006/relationships/hyperlink" Target="http://thyronet.rusmedserv.com/th_spec/thyr-1-03-1.html" TargetMode="External"/><Relationship Id="rId29" Type="http://schemas.openxmlformats.org/officeDocument/2006/relationships/hyperlink" Target="http://thyronet.rusmedserv.com/th_spec/thyr-1-03-1.html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thyronet.rusmedserv.com/th_spec/thyr-1-03-1.html" TargetMode="External"/><Relationship Id="rId11" Type="http://schemas.openxmlformats.org/officeDocument/2006/relationships/hyperlink" Target="http://thyronet.rusmedserv.com/th_spec/thyr-1-03-1.html" TargetMode="External"/><Relationship Id="rId24" Type="http://schemas.openxmlformats.org/officeDocument/2006/relationships/hyperlink" Target="http://thyronet.rusmedserv.com/th_spec/thyr-1-03-1.html" TargetMode="External"/><Relationship Id="rId32" Type="http://schemas.openxmlformats.org/officeDocument/2006/relationships/hyperlink" Target="http://thyronet.rusmedserv.com/th_spec/thyr-1-03-1.html" TargetMode="External"/><Relationship Id="rId37" Type="http://schemas.openxmlformats.org/officeDocument/2006/relationships/hyperlink" Target="http://thyronet.rusmedserv.com/th_spec/thyr-1-03-1.htm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hyronet.rusmedserv.com/th_spec/thyr-1-03-1.html" TargetMode="External"/><Relationship Id="rId23" Type="http://schemas.openxmlformats.org/officeDocument/2006/relationships/hyperlink" Target="http://thyronet.rusmedserv.com/th_spec/thyr-1-03-1.html" TargetMode="External"/><Relationship Id="rId28" Type="http://schemas.openxmlformats.org/officeDocument/2006/relationships/hyperlink" Target="http://thyronet.rusmedserv.com/th_spec/thyr-1-03-1.html" TargetMode="External"/><Relationship Id="rId36" Type="http://schemas.openxmlformats.org/officeDocument/2006/relationships/hyperlink" Target="http://thyronet.rusmedserv.com/th_spec/thyr-1-03-1.html" TargetMode="External"/><Relationship Id="rId10" Type="http://schemas.openxmlformats.org/officeDocument/2006/relationships/hyperlink" Target="http://thyronet.rusmedserv.com/th_spec/thyr-1-03-1.html" TargetMode="External"/><Relationship Id="rId19" Type="http://schemas.openxmlformats.org/officeDocument/2006/relationships/hyperlink" Target="http://thyronet.rusmedserv.com/th_spec/thyr-1-03-1.html" TargetMode="External"/><Relationship Id="rId31" Type="http://schemas.openxmlformats.org/officeDocument/2006/relationships/hyperlink" Target="http://thyronet.rusmedserv.com/th_spec/thyr-1-03-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hyronet.rusmedserv.com/th_spec/thyr-1-03-1.html" TargetMode="External"/><Relationship Id="rId14" Type="http://schemas.openxmlformats.org/officeDocument/2006/relationships/hyperlink" Target="http://thyronet.rusmedserv.com/th_spec/thyr-1-03-1.html" TargetMode="External"/><Relationship Id="rId22" Type="http://schemas.openxmlformats.org/officeDocument/2006/relationships/hyperlink" Target="http://thyronet.rusmedserv.com/th_spec/thyr-1-03-1.html" TargetMode="External"/><Relationship Id="rId27" Type="http://schemas.openxmlformats.org/officeDocument/2006/relationships/hyperlink" Target="http://thyronet.rusmedserv.com/th_spec/thyr-1-03-1.html" TargetMode="External"/><Relationship Id="rId30" Type="http://schemas.openxmlformats.org/officeDocument/2006/relationships/hyperlink" Target="http://thyronet.rusmedserv.com/th_spec/thyr-1-03-1.html" TargetMode="External"/><Relationship Id="rId35" Type="http://schemas.openxmlformats.org/officeDocument/2006/relationships/hyperlink" Target="http://thyronet.rusmedserv.com/th_spec/thyr-1-03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4051</Words>
  <Characters>23095</Characters>
  <Application>Microsoft Office Word</Application>
  <DocSecurity>0</DocSecurity>
  <Lines>192</Lines>
  <Paragraphs>54</Paragraphs>
  <ScaleCrop>false</ScaleCrop>
  <Company>PERSONAL COMPUTERS</Company>
  <LinksUpToDate>false</LinksUpToDate>
  <CharactersWithSpaces>27092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щитовидной железы в ядерной медицине</dc:title>
  <dc:creator>USER</dc:creator>
  <cp:lastModifiedBy>Igor</cp:lastModifiedBy>
  <cp:revision>3</cp:revision>
  <dcterms:created xsi:type="dcterms:W3CDTF">2024-07-23T08:25:00Z</dcterms:created>
  <dcterms:modified xsi:type="dcterms:W3CDTF">2024-07-23T08:25:00Z</dcterms:modified>
</cp:coreProperties>
</file>