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D2" w:rsidRPr="008A07D2" w:rsidRDefault="008A07D2" w:rsidP="000E3DD3">
      <w:pPr>
        <w:pStyle w:val="a3"/>
        <w:jc w:val="center"/>
        <w:rPr>
          <w:b/>
          <w:bCs/>
          <w:sz w:val="27"/>
          <w:szCs w:val="27"/>
        </w:rPr>
      </w:pPr>
      <w:bookmarkStart w:id="0" w:name="_GoBack"/>
      <w:bookmarkEnd w:id="0"/>
      <w:r w:rsidRPr="008A07D2">
        <w:rPr>
          <w:b/>
          <w:bCs/>
          <w:sz w:val="27"/>
          <w:szCs w:val="27"/>
        </w:rPr>
        <w:t>К проблеме отграничения новых нейролептиков от классических. Сопоставление клинического и нейрохимического подхода</w:t>
      </w:r>
    </w:p>
    <w:p w:rsidR="000E3DD3" w:rsidRDefault="008A07D2" w:rsidP="000E3DD3">
      <w:pPr>
        <w:pStyle w:val="a3"/>
        <w:ind w:firstLine="709"/>
        <w:jc w:val="both"/>
      </w:pPr>
      <w:r w:rsidRPr="008A07D2">
        <w:t>Введение</w:t>
      </w:r>
    </w:p>
    <w:p w:rsidR="008A07D2" w:rsidRPr="008A07D2" w:rsidRDefault="008A07D2" w:rsidP="000E3DD3">
      <w:pPr>
        <w:pStyle w:val="a3"/>
        <w:ind w:firstLine="709"/>
        <w:jc w:val="both"/>
      </w:pPr>
      <w:r w:rsidRPr="008A07D2">
        <w:t xml:space="preserve">Новые, или </w:t>
      </w:r>
      <w:proofErr w:type="spellStart"/>
      <w:r w:rsidRPr="008A07D2">
        <w:t>атипичные</w:t>
      </w:r>
      <w:proofErr w:type="spellEnd"/>
      <w:r w:rsidRPr="008A07D2">
        <w:t xml:space="preserve">, нейролептики за последние годы стали неотъемлемой частью лечения больных шизофренией. Причины популярности этих соединений у психиатров хорошо известны и сводятся, во-первых, к отсутствию возникновения неврологических побочных эффектов, характерных для классических нейролептиков, во-вторых, обусловлены и тем, что при их применении можно рассчитывать на наступление какого-то улучшения у больных шизофренией с явлениями терапевтической </w:t>
      </w:r>
      <w:proofErr w:type="spellStart"/>
      <w:r w:rsidRPr="008A07D2">
        <w:t>резистентности</w:t>
      </w:r>
      <w:proofErr w:type="spellEnd"/>
      <w:r w:rsidRPr="008A07D2">
        <w:t xml:space="preserve"> и негативной симптоматикой.</w:t>
      </w:r>
    </w:p>
    <w:p w:rsidR="000E3DD3" w:rsidRDefault="008A07D2" w:rsidP="000E3DD3">
      <w:pPr>
        <w:pStyle w:val="a3"/>
        <w:ind w:firstLine="709"/>
        <w:jc w:val="both"/>
        <w:rPr>
          <w:b/>
          <w:bCs/>
        </w:rPr>
      </w:pPr>
      <w:proofErr w:type="spellStart"/>
      <w:r w:rsidRPr="008A07D2">
        <w:rPr>
          <w:b/>
          <w:bCs/>
        </w:rPr>
        <w:t>Курабельна</w:t>
      </w:r>
      <w:proofErr w:type="spellEnd"/>
      <w:r w:rsidRPr="008A07D2">
        <w:rPr>
          <w:b/>
          <w:bCs/>
        </w:rPr>
        <w:t xml:space="preserve"> ли негативная симптоматика?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Общеизвестно, что негативную симптоматику у больных шизофренией ранее было принято рассматривать как </w:t>
      </w:r>
      <w:proofErr w:type="spellStart"/>
      <w:r w:rsidRPr="008A07D2">
        <w:t>инкурабельную</w:t>
      </w:r>
      <w:proofErr w:type="spellEnd"/>
      <w:r w:rsidRPr="008A07D2">
        <w:t xml:space="preserve">. Более того, классические нейролептики в зависимости от уровня применяемой дозы могли привносить в психопатологическую картину психоза изменения, которые сами по себе можно было принять за негативные явления, или дефект. Не случайно в этой связи некоторые авторы говорили о развитии </w:t>
      </w:r>
      <w:proofErr w:type="spellStart"/>
      <w:r w:rsidRPr="008A07D2">
        <w:t>фармакогенной</w:t>
      </w:r>
      <w:proofErr w:type="spellEnd"/>
      <w:r w:rsidRPr="008A07D2">
        <w:t xml:space="preserve"> депрессии или даже </w:t>
      </w:r>
      <w:proofErr w:type="spellStart"/>
      <w:r w:rsidRPr="008A07D2">
        <w:t>фармакогенного</w:t>
      </w:r>
      <w:proofErr w:type="spellEnd"/>
      <w:r w:rsidRPr="008A07D2">
        <w:t xml:space="preserve"> дефекта. Это наиболее часто возникало при применении высоких доз </w:t>
      </w:r>
      <w:proofErr w:type="spellStart"/>
      <w:r w:rsidRPr="008A07D2">
        <w:t>хлорпромазина</w:t>
      </w:r>
      <w:proofErr w:type="spellEnd"/>
      <w:r w:rsidRPr="008A07D2">
        <w:t xml:space="preserve"> (</w:t>
      </w:r>
      <w:proofErr w:type="spellStart"/>
      <w:r w:rsidRPr="008A07D2">
        <w:t>аминазина</w:t>
      </w:r>
      <w:proofErr w:type="spellEnd"/>
      <w:r w:rsidRPr="008A07D2">
        <w:t xml:space="preserve">). Облик подобных "залеченных" </w:t>
      </w:r>
      <w:proofErr w:type="spellStart"/>
      <w:r w:rsidRPr="008A07D2">
        <w:t>аминазином</w:t>
      </w:r>
      <w:proofErr w:type="spellEnd"/>
      <w:r w:rsidRPr="008A07D2">
        <w:t xml:space="preserve"> больных шизофренией хорошо известен и не требует повторного описания.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Целесообразно подчеркнуть, что для традиционных нейролептических препаратов вообще характерна закономерность, связывающая диаметрально противоположные эффекты с уровнем применяемых доз. Так, неоднократно подчеркивалось, что в малых дозах традиционные нейролептики, такие как </w:t>
      </w:r>
      <w:proofErr w:type="spellStart"/>
      <w:r w:rsidRPr="008A07D2">
        <w:t>трифлуоперазин</w:t>
      </w:r>
      <w:proofErr w:type="spellEnd"/>
      <w:r w:rsidRPr="008A07D2">
        <w:t xml:space="preserve">, </w:t>
      </w:r>
      <w:proofErr w:type="spellStart"/>
      <w:r w:rsidRPr="008A07D2">
        <w:t>этаперазин</w:t>
      </w:r>
      <w:proofErr w:type="spellEnd"/>
      <w:r w:rsidRPr="008A07D2">
        <w:t xml:space="preserve">, </w:t>
      </w:r>
      <w:proofErr w:type="spellStart"/>
      <w:r w:rsidRPr="008A07D2">
        <w:t>фторфеназин</w:t>
      </w:r>
      <w:proofErr w:type="spellEnd"/>
      <w:r w:rsidRPr="008A07D2">
        <w:t xml:space="preserve">, </w:t>
      </w:r>
      <w:proofErr w:type="spellStart"/>
      <w:r w:rsidRPr="008A07D2">
        <w:t>галоперидол</w:t>
      </w:r>
      <w:proofErr w:type="spellEnd"/>
      <w:r w:rsidRPr="008A07D2">
        <w:t xml:space="preserve"> оказывают стимулирующее, активирующее, растормаживающее действие, тогда как по мере повышения дозы усиливается собственно </w:t>
      </w:r>
      <w:proofErr w:type="spellStart"/>
      <w:r w:rsidRPr="008A07D2">
        <w:t>антипсихотический</w:t>
      </w:r>
      <w:proofErr w:type="spellEnd"/>
      <w:r w:rsidRPr="008A07D2">
        <w:t xml:space="preserve"> эффект и более вероятно развитие </w:t>
      </w:r>
      <w:proofErr w:type="spellStart"/>
      <w:r w:rsidRPr="008A07D2">
        <w:t>седации.</w:t>
      </w:r>
      <w:proofErr w:type="spellEnd"/>
    </w:p>
    <w:p w:rsidR="008A07D2" w:rsidRPr="008A07D2" w:rsidRDefault="008A07D2" w:rsidP="000E3DD3">
      <w:pPr>
        <w:pStyle w:val="a3"/>
        <w:ind w:firstLine="709"/>
        <w:jc w:val="both"/>
        <w:rPr>
          <w:b/>
          <w:bCs/>
        </w:rPr>
      </w:pPr>
      <w:r w:rsidRPr="008A07D2">
        <w:rPr>
          <w:b/>
          <w:bCs/>
        </w:rPr>
        <w:t xml:space="preserve">Связывание различными нейролептиками 5-НТ </w:t>
      </w:r>
      <w:r w:rsidRPr="008A07D2">
        <w:rPr>
          <w:b/>
          <w:bCs/>
          <w:vertAlign w:val="subscript"/>
        </w:rPr>
        <w:t xml:space="preserve">2А </w:t>
      </w:r>
      <w:r w:rsidRPr="008A07D2">
        <w:rPr>
          <w:b/>
          <w:bCs/>
        </w:rPr>
        <w:t xml:space="preserve">-рецепторов, D </w:t>
      </w:r>
      <w:r w:rsidRPr="008A07D2">
        <w:rPr>
          <w:b/>
          <w:bCs/>
          <w:vertAlign w:val="subscript"/>
        </w:rPr>
        <w:t xml:space="preserve">2 </w:t>
      </w:r>
      <w:r w:rsidRPr="008A07D2">
        <w:rPr>
          <w:b/>
          <w:bCs/>
        </w:rPr>
        <w:t>-</w:t>
      </w:r>
      <w:proofErr w:type="spellStart"/>
      <w:r w:rsidRPr="008A07D2">
        <w:rPr>
          <w:b/>
          <w:bCs/>
        </w:rPr>
        <w:t>ДА-рецепторов</w:t>
      </w:r>
      <w:proofErr w:type="spellEnd"/>
      <w:r w:rsidRPr="008A07D2">
        <w:rPr>
          <w:b/>
          <w:bCs/>
        </w:rPr>
        <w:t xml:space="preserve"> и отношение связывания 5-НТ </w:t>
      </w:r>
      <w:r w:rsidRPr="008A07D2">
        <w:rPr>
          <w:b/>
          <w:bCs/>
          <w:vertAlign w:val="subscript"/>
        </w:rPr>
        <w:t xml:space="preserve">2А </w:t>
      </w:r>
      <w:r w:rsidRPr="008A07D2">
        <w:rPr>
          <w:b/>
          <w:bCs/>
        </w:rPr>
        <w:t xml:space="preserve">/D </w:t>
      </w:r>
      <w:r w:rsidRPr="008A07D2">
        <w:rPr>
          <w:b/>
          <w:bCs/>
          <w:vertAlign w:val="subscript"/>
        </w:rPr>
        <w:t xml:space="preserve">2 </w:t>
      </w:r>
      <w:r w:rsidRPr="008A07D2">
        <w:rPr>
          <w:b/>
          <w:bCs/>
        </w:rPr>
        <w:t xml:space="preserve">-ДА (по данным из статьи </w:t>
      </w:r>
      <w:proofErr w:type="spellStart"/>
      <w:r w:rsidRPr="008A07D2">
        <w:rPr>
          <w:b/>
          <w:bCs/>
        </w:rPr>
        <w:t>Richelson</w:t>
      </w:r>
      <w:proofErr w:type="spellEnd"/>
      <w:r w:rsidRPr="008A07D2">
        <w:rPr>
          <w:b/>
          <w:bCs/>
        </w:rPr>
        <w:t xml:space="preserve">, 1996) </w:t>
      </w:r>
    </w:p>
    <w:tbl>
      <w:tblPr>
        <w:tblW w:w="711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81"/>
        <w:gridCol w:w="1422"/>
        <w:gridCol w:w="1985"/>
        <w:gridCol w:w="1922"/>
      </w:tblGrid>
      <w:tr w:rsidR="008A07D2" w:rsidRPr="008A07D2">
        <w:trPr>
          <w:tblCellSpacing w:w="7" w:type="dxa"/>
          <w:jc w:val="center"/>
        </w:trPr>
        <w:tc>
          <w:tcPr>
            <w:tcW w:w="1250" w:type="pct"/>
          </w:tcPr>
          <w:p w:rsidR="008A07D2" w:rsidRPr="008A07D2" w:rsidRDefault="008A07D2">
            <w:pPr>
              <w:pStyle w:val="a3"/>
            </w:pPr>
            <w:r w:rsidRPr="008A07D2">
              <w:rPr>
                <w:b/>
                <w:bCs/>
              </w:rPr>
              <w:t xml:space="preserve">Препарат </w:t>
            </w:r>
          </w:p>
        </w:tc>
        <w:tc>
          <w:tcPr>
            <w:tcW w:w="1000" w:type="pct"/>
          </w:tcPr>
          <w:p w:rsidR="008A07D2" w:rsidRPr="008A07D2" w:rsidRDefault="008A07D2">
            <w:pPr>
              <w:pStyle w:val="a3"/>
            </w:pPr>
            <w:r w:rsidRPr="008A07D2">
              <w:rPr>
                <w:b/>
                <w:bCs/>
              </w:rPr>
              <w:t xml:space="preserve">Блокада 5-НТ2А- рецепторов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rPr>
                <w:b/>
                <w:bCs/>
              </w:rPr>
              <w:t xml:space="preserve">Блокада D2-ДА- рецепторов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rPr>
                <w:b/>
                <w:bCs/>
              </w:rPr>
              <w:t xml:space="preserve">Отношение блокады 5-НТ </w:t>
            </w:r>
            <w:r w:rsidRPr="008A07D2">
              <w:rPr>
                <w:b/>
                <w:bCs/>
                <w:vertAlign w:val="subscript"/>
              </w:rPr>
              <w:t xml:space="preserve">2А </w:t>
            </w:r>
            <w:r w:rsidRPr="008A07D2">
              <w:rPr>
                <w:b/>
                <w:bCs/>
              </w:rPr>
              <w:t xml:space="preserve">/D </w:t>
            </w:r>
            <w:r w:rsidRPr="008A07D2">
              <w:rPr>
                <w:b/>
                <w:bCs/>
                <w:vertAlign w:val="subscript"/>
              </w:rPr>
              <w:t xml:space="preserve">2 </w:t>
            </w:r>
            <w:r w:rsidRPr="008A07D2">
              <w:rPr>
                <w:b/>
                <w:bCs/>
              </w:rPr>
              <w:t xml:space="preserve">-ДА </w:t>
            </w:r>
          </w:p>
        </w:tc>
      </w:tr>
      <w:tr w:rsidR="008A07D2" w:rsidRPr="008A07D2">
        <w:trPr>
          <w:tblCellSpacing w:w="7" w:type="dxa"/>
          <w:jc w:val="center"/>
        </w:trPr>
        <w:tc>
          <w:tcPr>
            <w:tcW w:w="1250" w:type="pct"/>
          </w:tcPr>
          <w:p w:rsidR="008A07D2" w:rsidRPr="008A07D2" w:rsidRDefault="008A07D2">
            <w:pPr>
              <w:pStyle w:val="a3"/>
            </w:pPr>
            <w:proofErr w:type="spellStart"/>
            <w:r w:rsidRPr="008A07D2">
              <w:t>Сертиндол</w:t>
            </w:r>
            <w:proofErr w:type="spellEnd"/>
            <w:r w:rsidRPr="008A07D2">
              <w:t xml:space="preserve"> </w:t>
            </w:r>
          </w:p>
        </w:tc>
        <w:tc>
          <w:tcPr>
            <w:tcW w:w="1000" w:type="pct"/>
          </w:tcPr>
          <w:p w:rsidR="008A07D2" w:rsidRPr="008A07D2" w:rsidRDefault="008A07D2">
            <w:pPr>
              <w:pStyle w:val="a3"/>
            </w:pPr>
            <w:r w:rsidRPr="008A07D2">
              <w:t xml:space="preserve">260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220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1,18 </w:t>
            </w:r>
          </w:p>
        </w:tc>
      </w:tr>
      <w:tr w:rsidR="008A07D2" w:rsidRPr="008A07D2">
        <w:trPr>
          <w:tblCellSpacing w:w="7" w:type="dxa"/>
          <w:jc w:val="center"/>
        </w:trPr>
        <w:tc>
          <w:tcPr>
            <w:tcW w:w="1250" w:type="pct"/>
          </w:tcPr>
          <w:p w:rsidR="008A07D2" w:rsidRPr="008A07D2" w:rsidRDefault="008A07D2">
            <w:pPr>
              <w:pStyle w:val="a3"/>
            </w:pPr>
            <w:proofErr w:type="spellStart"/>
            <w:r w:rsidRPr="008A07D2">
              <w:t>Рисперидон</w:t>
            </w:r>
            <w:proofErr w:type="spellEnd"/>
            <w:r w:rsidRPr="008A07D2">
              <w:t xml:space="preserve"> </w:t>
            </w:r>
          </w:p>
        </w:tc>
        <w:tc>
          <w:tcPr>
            <w:tcW w:w="1000" w:type="pct"/>
          </w:tcPr>
          <w:p w:rsidR="008A07D2" w:rsidRPr="008A07D2" w:rsidRDefault="008A07D2">
            <w:pPr>
              <w:pStyle w:val="a3"/>
            </w:pPr>
            <w:r w:rsidRPr="008A07D2">
              <w:t xml:space="preserve">170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33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5,15 </w:t>
            </w:r>
          </w:p>
        </w:tc>
      </w:tr>
      <w:tr w:rsidR="008A07D2" w:rsidRPr="008A07D2">
        <w:trPr>
          <w:tblCellSpacing w:w="7" w:type="dxa"/>
          <w:jc w:val="center"/>
        </w:trPr>
        <w:tc>
          <w:tcPr>
            <w:tcW w:w="1250" w:type="pct"/>
          </w:tcPr>
          <w:p w:rsidR="008A07D2" w:rsidRPr="008A07D2" w:rsidRDefault="008A07D2">
            <w:pPr>
              <w:pStyle w:val="a3"/>
            </w:pPr>
            <w:proofErr w:type="spellStart"/>
            <w:r w:rsidRPr="008A07D2">
              <w:t>Хлорпромазин</w:t>
            </w:r>
            <w:proofErr w:type="spellEnd"/>
            <w:r w:rsidRPr="008A07D2">
              <w:t xml:space="preserve"> </w:t>
            </w:r>
          </w:p>
        </w:tc>
        <w:tc>
          <w:tcPr>
            <w:tcW w:w="1000" w:type="pct"/>
          </w:tcPr>
          <w:p w:rsidR="008A07D2" w:rsidRPr="008A07D2" w:rsidRDefault="008A07D2">
            <w:pPr>
              <w:pStyle w:val="a3"/>
            </w:pPr>
            <w:r w:rsidRPr="008A07D2">
              <w:t xml:space="preserve">71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5,3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13,4 </w:t>
            </w:r>
          </w:p>
        </w:tc>
      </w:tr>
      <w:tr w:rsidR="008A07D2" w:rsidRPr="008A07D2">
        <w:trPr>
          <w:tblCellSpacing w:w="7" w:type="dxa"/>
          <w:jc w:val="center"/>
        </w:trPr>
        <w:tc>
          <w:tcPr>
            <w:tcW w:w="1250" w:type="pct"/>
          </w:tcPr>
          <w:p w:rsidR="008A07D2" w:rsidRPr="008A07D2" w:rsidRDefault="008A07D2">
            <w:pPr>
              <w:pStyle w:val="a3"/>
            </w:pPr>
            <w:proofErr w:type="spellStart"/>
            <w:r w:rsidRPr="008A07D2">
              <w:t>Клозапин</w:t>
            </w:r>
            <w:proofErr w:type="spellEnd"/>
            <w:r w:rsidRPr="008A07D2">
              <w:t xml:space="preserve"> </w:t>
            </w:r>
          </w:p>
        </w:tc>
        <w:tc>
          <w:tcPr>
            <w:tcW w:w="1000" w:type="pct"/>
          </w:tcPr>
          <w:p w:rsidR="008A07D2" w:rsidRPr="008A07D2" w:rsidRDefault="008A07D2">
            <w:pPr>
              <w:pStyle w:val="a3"/>
            </w:pPr>
            <w:r w:rsidRPr="008A07D2">
              <w:t xml:space="preserve">63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0,56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112,5 </w:t>
            </w:r>
          </w:p>
        </w:tc>
      </w:tr>
      <w:tr w:rsidR="008A07D2" w:rsidRPr="008A07D2">
        <w:trPr>
          <w:tblCellSpacing w:w="7" w:type="dxa"/>
          <w:jc w:val="center"/>
        </w:trPr>
        <w:tc>
          <w:tcPr>
            <w:tcW w:w="1250" w:type="pct"/>
          </w:tcPr>
          <w:p w:rsidR="008A07D2" w:rsidRPr="008A07D2" w:rsidRDefault="008A07D2">
            <w:pPr>
              <w:pStyle w:val="a3"/>
            </w:pPr>
            <w:proofErr w:type="spellStart"/>
            <w:r w:rsidRPr="008A07D2">
              <w:t>Локсапин</w:t>
            </w:r>
            <w:proofErr w:type="spellEnd"/>
            <w:r w:rsidRPr="008A07D2">
              <w:t xml:space="preserve"> </w:t>
            </w:r>
          </w:p>
        </w:tc>
        <w:tc>
          <w:tcPr>
            <w:tcW w:w="1000" w:type="pct"/>
          </w:tcPr>
          <w:p w:rsidR="008A07D2" w:rsidRPr="008A07D2" w:rsidRDefault="008A07D2">
            <w:pPr>
              <w:pStyle w:val="a3"/>
            </w:pPr>
            <w:r w:rsidRPr="008A07D2">
              <w:t xml:space="preserve">59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1,4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42,14 </w:t>
            </w:r>
          </w:p>
        </w:tc>
      </w:tr>
      <w:tr w:rsidR="008A07D2" w:rsidRPr="008A07D2">
        <w:trPr>
          <w:tblCellSpacing w:w="7" w:type="dxa"/>
          <w:jc w:val="center"/>
        </w:trPr>
        <w:tc>
          <w:tcPr>
            <w:tcW w:w="1250" w:type="pct"/>
          </w:tcPr>
          <w:p w:rsidR="008A07D2" w:rsidRPr="008A07D2" w:rsidRDefault="008A07D2">
            <w:pPr>
              <w:pStyle w:val="a3"/>
            </w:pPr>
            <w:proofErr w:type="spellStart"/>
            <w:r w:rsidRPr="008A07D2">
              <w:t>Оланзапин</w:t>
            </w:r>
            <w:proofErr w:type="spellEnd"/>
            <w:r w:rsidRPr="008A07D2">
              <w:t xml:space="preserve"> </w:t>
            </w:r>
          </w:p>
        </w:tc>
        <w:tc>
          <w:tcPr>
            <w:tcW w:w="1000" w:type="pct"/>
          </w:tcPr>
          <w:p w:rsidR="008A07D2" w:rsidRPr="008A07D2" w:rsidRDefault="008A07D2">
            <w:pPr>
              <w:pStyle w:val="a3"/>
            </w:pPr>
            <w:r w:rsidRPr="008A07D2">
              <w:t xml:space="preserve">25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9,1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2,75 </w:t>
            </w:r>
          </w:p>
        </w:tc>
      </w:tr>
      <w:tr w:rsidR="008A07D2" w:rsidRPr="008A07D2">
        <w:trPr>
          <w:tblCellSpacing w:w="7" w:type="dxa"/>
          <w:jc w:val="center"/>
        </w:trPr>
        <w:tc>
          <w:tcPr>
            <w:tcW w:w="1250" w:type="pct"/>
          </w:tcPr>
          <w:p w:rsidR="008A07D2" w:rsidRPr="008A07D2" w:rsidRDefault="008A07D2">
            <w:pPr>
              <w:pStyle w:val="a3"/>
            </w:pPr>
            <w:proofErr w:type="spellStart"/>
            <w:r w:rsidRPr="008A07D2">
              <w:t>Флуфеназин</w:t>
            </w:r>
            <w:proofErr w:type="spellEnd"/>
            <w:r w:rsidRPr="008A07D2">
              <w:t xml:space="preserve"> </w:t>
            </w:r>
          </w:p>
        </w:tc>
        <w:tc>
          <w:tcPr>
            <w:tcW w:w="1000" w:type="pct"/>
          </w:tcPr>
          <w:p w:rsidR="008A07D2" w:rsidRPr="008A07D2" w:rsidRDefault="008A07D2">
            <w:pPr>
              <w:pStyle w:val="a3"/>
            </w:pPr>
            <w:r w:rsidRPr="008A07D2">
              <w:t xml:space="preserve">5,3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125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0,04 </w:t>
            </w:r>
          </w:p>
        </w:tc>
      </w:tr>
      <w:tr w:rsidR="008A07D2" w:rsidRPr="008A07D2">
        <w:trPr>
          <w:tblCellSpacing w:w="7" w:type="dxa"/>
          <w:jc w:val="center"/>
        </w:trPr>
        <w:tc>
          <w:tcPr>
            <w:tcW w:w="1250" w:type="pct"/>
          </w:tcPr>
          <w:p w:rsidR="008A07D2" w:rsidRPr="008A07D2" w:rsidRDefault="008A07D2">
            <w:pPr>
              <w:pStyle w:val="a3"/>
            </w:pPr>
            <w:proofErr w:type="spellStart"/>
            <w:r w:rsidRPr="008A07D2">
              <w:t>Тиордазин</w:t>
            </w:r>
            <w:proofErr w:type="spellEnd"/>
            <w:r w:rsidRPr="008A07D2">
              <w:t xml:space="preserve"> </w:t>
            </w:r>
          </w:p>
        </w:tc>
        <w:tc>
          <w:tcPr>
            <w:tcW w:w="1000" w:type="pct"/>
          </w:tcPr>
          <w:p w:rsidR="008A07D2" w:rsidRPr="008A07D2" w:rsidRDefault="008A07D2">
            <w:pPr>
              <w:pStyle w:val="a3"/>
            </w:pPr>
            <w:r w:rsidRPr="008A07D2">
              <w:t xml:space="preserve">4,5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3,8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1,18 </w:t>
            </w:r>
          </w:p>
        </w:tc>
      </w:tr>
      <w:tr w:rsidR="008A07D2" w:rsidRPr="008A07D2">
        <w:trPr>
          <w:tblCellSpacing w:w="7" w:type="dxa"/>
          <w:jc w:val="center"/>
        </w:trPr>
        <w:tc>
          <w:tcPr>
            <w:tcW w:w="1250" w:type="pct"/>
          </w:tcPr>
          <w:p w:rsidR="008A07D2" w:rsidRPr="008A07D2" w:rsidRDefault="008A07D2">
            <w:pPr>
              <w:pStyle w:val="a3"/>
            </w:pPr>
            <w:proofErr w:type="spellStart"/>
            <w:r w:rsidRPr="008A07D2">
              <w:t>Галоперидол</w:t>
            </w:r>
            <w:proofErr w:type="spellEnd"/>
            <w:r w:rsidRPr="008A07D2">
              <w:t xml:space="preserve"> </w:t>
            </w:r>
          </w:p>
        </w:tc>
        <w:tc>
          <w:tcPr>
            <w:tcW w:w="1000" w:type="pct"/>
          </w:tcPr>
          <w:p w:rsidR="008A07D2" w:rsidRPr="008A07D2" w:rsidRDefault="008A07D2">
            <w:pPr>
              <w:pStyle w:val="a3"/>
            </w:pPr>
            <w:r w:rsidRPr="008A07D2">
              <w:t xml:space="preserve">2,8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25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0,11 </w:t>
            </w:r>
          </w:p>
        </w:tc>
      </w:tr>
      <w:tr w:rsidR="008A07D2" w:rsidRPr="008A07D2">
        <w:trPr>
          <w:tblCellSpacing w:w="7" w:type="dxa"/>
          <w:jc w:val="center"/>
        </w:trPr>
        <w:tc>
          <w:tcPr>
            <w:tcW w:w="1250" w:type="pct"/>
          </w:tcPr>
          <w:p w:rsidR="008A07D2" w:rsidRPr="008A07D2" w:rsidRDefault="008A07D2">
            <w:pPr>
              <w:pStyle w:val="a3"/>
            </w:pPr>
            <w:proofErr w:type="spellStart"/>
            <w:r w:rsidRPr="008A07D2">
              <w:t>Цис-тиотиксен</w:t>
            </w:r>
            <w:proofErr w:type="spellEnd"/>
            <w:r w:rsidRPr="008A07D2">
              <w:t xml:space="preserve"> </w:t>
            </w:r>
          </w:p>
        </w:tc>
        <w:tc>
          <w:tcPr>
            <w:tcW w:w="1000" w:type="pct"/>
          </w:tcPr>
          <w:p w:rsidR="008A07D2" w:rsidRPr="008A07D2" w:rsidRDefault="008A07D2">
            <w:pPr>
              <w:pStyle w:val="a3"/>
            </w:pPr>
            <w:r w:rsidRPr="008A07D2">
              <w:t xml:space="preserve">0,8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222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0,004 </w:t>
            </w:r>
          </w:p>
        </w:tc>
      </w:tr>
      <w:tr w:rsidR="008A07D2" w:rsidRPr="008A07D2">
        <w:trPr>
          <w:tblCellSpacing w:w="7" w:type="dxa"/>
          <w:jc w:val="center"/>
        </w:trPr>
        <w:tc>
          <w:tcPr>
            <w:tcW w:w="1250" w:type="pct"/>
          </w:tcPr>
          <w:p w:rsidR="008A07D2" w:rsidRPr="008A07D2" w:rsidRDefault="008A07D2">
            <w:pPr>
              <w:pStyle w:val="a3"/>
            </w:pPr>
            <w:proofErr w:type="spellStart"/>
            <w:r w:rsidRPr="008A07D2">
              <w:t>Кветиапин</w:t>
            </w:r>
            <w:proofErr w:type="spellEnd"/>
            <w:r w:rsidRPr="008A07D2">
              <w:t xml:space="preserve"> </w:t>
            </w:r>
          </w:p>
        </w:tc>
        <w:tc>
          <w:tcPr>
            <w:tcW w:w="1000" w:type="pct"/>
          </w:tcPr>
          <w:p w:rsidR="008A07D2" w:rsidRPr="008A07D2" w:rsidRDefault="008A07D2">
            <w:pPr>
              <w:pStyle w:val="a3"/>
            </w:pPr>
            <w:r w:rsidRPr="008A07D2">
              <w:t xml:space="preserve">0,34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0,63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0,54 </w:t>
            </w:r>
          </w:p>
        </w:tc>
      </w:tr>
      <w:tr w:rsidR="008A07D2" w:rsidRPr="008A07D2">
        <w:trPr>
          <w:tblCellSpacing w:w="7" w:type="dxa"/>
          <w:jc w:val="center"/>
        </w:trPr>
        <w:tc>
          <w:tcPr>
            <w:tcW w:w="1250" w:type="pct"/>
          </w:tcPr>
          <w:p w:rsidR="008A07D2" w:rsidRPr="008A07D2" w:rsidRDefault="008A07D2">
            <w:pPr>
              <w:pStyle w:val="a3"/>
            </w:pPr>
            <w:proofErr w:type="spellStart"/>
            <w:r w:rsidRPr="008A07D2">
              <w:t>Молиндон</w:t>
            </w:r>
            <w:proofErr w:type="spellEnd"/>
            <w:r w:rsidRPr="008A07D2">
              <w:t xml:space="preserve"> </w:t>
            </w:r>
          </w:p>
        </w:tc>
        <w:tc>
          <w:tcPr>
            <w:tcW w:w="1000" w:type="pct"/>
          </w:tcPr>
          <w:p w:rsidR="008A07D2" w:rsidRPr="008A07D2" w:rsidRDefault="008A07D2">
            <w:pPr>
              <w:pStyle w:val="a3"/>
            </w:pPr>
            <w:r w:rsidRPr="008A07D2">
              <w:t xml:space="preserve">0,02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0,8 </w:t>
            </w:r>
          </w:p>
        </w:tc>
        <w:tc>
          <w:tcPr>
            <w:tcW w:w="1400" w:type="pct"/>
          </w:tcPr>
          <w:p w:rsidR="008A07D2" w:rsidRPr="008A07D2" w:rsidRDefault="008A07D2">
            <w:pPr>
              <w:pStyle w:val="a3"/>
            </w:pPr>
            <w:r w:rsidRPr="008A07D2">
              <w:t xml:space="preserve">0,025 </w:t>
            </w:r>
          </w:p>
        </w:tc>
      </w:tr>
    </w:tbl>
    <w:p w:rsidR="000E3DD3" w:rsidRDefault="008A07D2" w:rsidP="000E3DD3">
      <w:pPr>
        <w:pStyle w:val="a3"/>
        <w:ind w:firstLine="709"/>
        <w:jc w:val="both"/>
      </w:pPr>
      <w:r w:rsidRPr="008A07D2">
        <w:lastRenderedPageBreak/>
        <w:t xml:space="preserve">Вообще, соотношению стимулирующего и седативного компонентов придавалось едва ли не основополагающее значение, и с учетом этих компонентов создавались различные клинические классификации не только нейролептиков, но и антидепрессантов, и транквилизаторов. Это привело к рекомендациям по назначению малых доз классических нейролептиков больным шизофренией с явлениями вялости, заторможенности, при снижении психической активности и различной степени выраженности апатоабулических состояний. При выраженном дефекте стремились назначать препараты с сильным растормаживающим компонентом в спектре действия, в частности, </w:t>
      </w:r>
      <w:proofErr w:type="spellStart"/>
      <w:r w:rsidRPr="008A07D2">
        <w:t>тиопроперазин</w:t>
      </w:r>
      <w:proofErr w:type="spellEnd"/>
      <w:r w:rsidRPr="008A07D2">
        <w:t xml:space="preserve"> (</w:t>
      </w:r>
      <w:proofErr w:type="spellStart"/>
      <w:r w:rsidRPr="008A07D2">
        <w:t>мажептил</w:t>
      </w:r>
      <w:proofErr w:type="spellEnd"/>
      <w:r w:rsidRPr="008A07D2">
        <w:t xml:space="preserve">), </w:t>
      </w:r>
      <w:proofErr w:type="spellStart"/>
      <w:r w:rsidRPr="008A07D2">
        <w:t>пипотиазин</w:t>
      </w:r>
      <w:proofErr w:type="spellEnd"/>
      <w:r w:rsidRPr="008A07D2">
        <w:t xml:space="preserve"> (</w:t>
      </w:r>
      <w:proofErr w:type="spellStart"/>
      <w:r w:rsidRPr="008A07D2">
        <w:t>пипортил</w:t>
      </w:r>
      <w:proofErr w:type="spellEnd"/>
      <w:r w:rsidRPr="008A07D2">
        <w:t xml:space="preserve">), </w:t>
      </w:r>
      <w:proofErr w:type="spellStart"/>
      <w:r w:rsidRPr="008A07D2">
        <w:t>перфеназин</w:t>
      </w:r>
      <w:proofErr w:type="spellEnd"/>
      <w:r w:rsidRPr="008A07D2">
        <w:t xml:space="preserve"> (</w:t>
      </w:r>
      <w:proofErr w:type="spellStart"/>
      <w:r w:rsidRPr="008A07D2">
        <w:t>этаперазин</w:t>
      </w:r>
      <w:proofErr w:type="spellEnd"/>
      <w:r w:rsidRPr="008A07D2">
        <w:t xml:space="preserve">), </w:t>
      </w:r>
      <w:proofErr w:type="spellStart"/>
      <w:r w:rsidRPr="008A07D2">
        <w:t>сульпирид</w:t>
      </w:r>
      <w:proofErr w:type="spellEnd"/>
      <w:r w:rsidRPr="008A07D2">
        <w:t xml:space="preserve"> (</w:t>
      </w:r>
      <w:proofErr w:type="spellStart"/>
      <w:r w:rsidRPr="008A07D2">
        <w:t>эглонил</w:t>
      </w:r>
      <w:proofErr w:type="spellEnd"/>
      <w:r w:rsidRPr="008A07D2">
        <w:t xml:space="preserve">) и </w:t>
      </w:r>
      <w:proofErr w:type="spellStart"/>
      <w:r w:rsidRPr="008A07D2">
        <w:t>флупентиксол</w:t>
      </w:r>
      <w:proofErr w:type="spellEnd"/>
      <w:r w:rsidRPr="008A07D2">
        <w:t xml:space="preserve"> (</w:t>
      </w:r>
      <w:proofErr w:type="spellStart"/>
      <w:r w:rsidRPr="008A07D2">
        <w:t>флуанксол</w:t>
      </w:r>
      <w:proofErr w:type="spellEnd"/>
      <w:r w:rsidRPr="008A07D2">
        <w:t>).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Существенно, что некоторые из традиционных нейролептиков, такие как </w:t>
      </w:r>
      <w:proofErr w:type="spellStart"/>
      <w:r w:rsidRPr="008A07D2">
        <w:t>тиоридазин</w:t>
      </w:r>
      <w:proofErr w:type="spellEnd"/>
      <w:r w:rsidRPr="008A07D2">
        <w:t xml:space="preserve">, </w:t>
      </w:r>
      <w:proofErr w:type="spellStart"/>
      <w:r w:rsidRPr="008A07D2">
        <w:t>сульпирид</w:t>
      </w:r>
      <w:proofErr w:type="spellEnd"/>
      <w:r w:rsidRPr="008A07D2">
        <w:t xml:space="preserve"> и </w:t>
      </w:r>
      <w:proofErr w:type="spellStart"/>
      <w:r w:rsidRPr="008A07D2">
        <w:t>флупентиксол</w:t>
      </w:r>
      <w:proofErr w:type="spellEnd"/>
      <w:r w:rsidRPr="008A07D2">
        <w:t xml:space="preserve"> в </w:t>
      </w:r>
      <w:proofErr w:type="spellStart"/>
      <w:r w:rsidRPr="008A07D2">
        <w:t>субтерапевтических</w:t>
      </w:r>
      <w:proofErr w:type="spellEnd"/>
      <w:r w:rsidRPr="008A07D2">
        <w:t xml:space="preserve"> дозах, т.е. в недостаточных для наступления собственно </w:t>
      </w:r>
      <w:proofErr w:type="spellStart"/>
      <w:r w:rsidRPr="008A07D2">
        <w:t>антипсихотического</w:t>
      </w:r>
      <w:proofErr w:type="spellEnd"/>
      <w:r w:rsidRPr="008A07D2">
        <w:t xml:space="preserve"> эффекта, оказывали и </w:t>
      </w:r>
      <w:proofErr w:type="spellStart"/>
      <w:r w:rsidRPr="008A07D2">
        <w:t>антидепрессивное</w:t>
      </w:r>
      <w:proofErr w:type="spellEnd"/>
      <w:r w:rsidRPr="008A07D2">
        <w:t xml:space="preserve"> действие. Не случайно, наверное, это позволило некоторым авторам назвать их переходными, в том смысле, что они занимают промежуточное место между нейролептиками и антидепрессантами.</w:t>
      </w:r>
    </w:p>
    <w:p w:rsidR="008A07D2" w:rsidRPr="008A07D2" w:rsidRDefault="008A07D2" w:rsidP="000E3DD3">
      <w:pPr>
        <w:pStyle w:val="a3"/>
        <w:ind w:firstLine="709"/>
        <w:jc w:val="both"/>
      </w:pPr>
      <w:r w:rsidRPr="008A07D2">
        <w:t xml:space="preserve">Возникает закономерный вопрос, можно ли указанный выше активирующий, растормаживающий эффект некоторых классических нейролептиков считать </w:t>
      </w:r>
      <w:proofErr w:type="spellStart"/>
      <w:r w:rsidRPr="008A07D2">
        <w:t>антинегативным</w:t>
      </w:r>
      <w:proofErr w:type="spellEnd"/>
      <w:r w:rsidRPr="008A07D2">
        <w:t xml:space="preserve">? Иначе говоря, насколько правомерно считать некоторые старые хорошо известные нейролептики </w:t>
      </w:r>
      <w:proofErr w:type="spellStart"/>
      <w:r w:rsidRPr="008A07D2">
        <w:t>атипичными</w:t>
      </w:r>
      <w:proofErr w:type="spellEnd"/>
      <w:r w:rsidRPr="008A07D2">
        <w:t>?</w:t>
      </w:r>
    </w:p>
    <w:p w:rsidR="000E3DD3" w:rsidRDefault="008A07D2" w:rsidP="000E3DD3">
      <w:pPr>
        <w:pStyle w:val="a3"/>
        <w:ind w:firstLine="709"/>
        <w:jc w:val="both"/>
        <w:rPr>
          <w:b/>
          <w:bCs/>
        </w:rPr>
      </w:pPr>
      <w:r w:rsidRPr="008A07D2">
        <w:rPr>
          <w:b/>
          <w:bCs/>
        </w:rPr>
        <w:t>Критерии негативной симптоматики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Для ответа на него необходимо кратко остановиться на критериях негативной симптоматики и рассмотреть основные негативные симптомы, которые принято выделять в современных психометрических шкалах, а также установить возможные различия в спектре действия </w:t>
      </w:r>
      <w:proofErr w:type="spellStart"/>
      <w:r w:rsidRPr="008A07D2">
        <w:t>атипичных</w:t>
      </w:r>
      <w:proofErr w:type="spellEnd"/>
      <w:r w:rsidRPr="008A07D2">
        <w:t xml:space="preserve"> и классических стимулирующих нейролептиков.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Но вначале целесообразно напомнить определение </w:t>
      </w:r>
      <w:proofErr w:type="spellStart"/>
      <w:r w:rsidRPr="008A07D2">
        <w:t>атипичного</w:t>
      </w:r>
      <w:proofErr w:type="spellEnd"/>
      <w:r w:rsidRPr="008A07D2">
        <w:t xml:space="preserve"> нейролептика. К ним относят препараты, эффективно устраняющие как продуктивную, так и негативную симптоматику и не вызывающие побочных неврологических эффектов (</w:t>
      </w:r>
      <w:proofErr w:type="spellStart"/>
      <w:r w:rsidRPr="008A07D2">
        <w:t>Meltzer</w:t>
      </w:r>
      <w:proofErr w:type="spellEnd"/>
      <w:r w:rsidRPr="008A07D2">
        <w:t>, 1996).</w:t>
      </w:r>
    </w:p>
    <w:p w:rsidR="000E3DD3" w:rsidRDefault="008A07D2" w:rsidP="000E3DD3">
      <w:pPr>
        <w:pStyle w:val="a3"/>
        <w:ind w:firstLine="709"/>
        <w:jc w:val="both"/>
      </w:pPr>
      <w:r w:rsidRPr="008A07D2">
        <w:t>Единого разделяемого всеми авторами понятия негативной симптоматики просто не существует. Единство затрагивает лишь то, что большинство исследователей единодушно признает, что существует, по крайней мере два типа негативной симптоматики – первичная, обусловленная непонятой пока сущностью шизофренического процесса, и вторичная, вызванная продуктивной, аффективной симптоматикой либо даже побочным действием нейролептиков (</w:t>
      </w:r>
      <w:proofErr w:type="spellStart"/>
      <w:r w:rsidRPr="008A07D2">
        <w:t>Marneros</w:t>
      </w:r>
      <w:proofErr w:type="spellEnd"/>
      <w:r w:rsidRPr="008A07D2">
        <w:t>, 1997).</w:t>
      </w:r>
    </w:p>
    <w:p w:rsidR="000E3DD3" w:rsidRDefault="008A07D2" w:rsidP="000E3DD3">
      <w:pPr>
        <w:pStyle w:val="a3"/>
        <w:ind w:firstLine="709"/>
        <w:jc w:val="both"/>
      </w:pPr>
      <w:r w:rsidRPr="008A07D2">
        <w:t>С другой стороны, вопрос о том, какие именно признаки шизофренического процесса должны считаться негативными, остается до конца не решенным, и разными авторами решается различно в зависимости от используемых психометрических шкал.</w:t>
      </w:r>
    </w:p>
    <w:p w:rsidR="000E3DD3" w:rsidRDefault="008A07D2" w:rsidP="000E3DD3">
      <w:pPr>
        <w:pStyle w:val="a3"/>
        <w:ind w:firstLine="709"/>
        <w:jc w:val="both"/>
      </w:pPr>
      <w:r w:rsidRPr="008A07D2">
        <w:t>Так, в шкале PANSS к ним относят притупленный аффект, эмоциональный аутизм, снижение коммуникационных способностей (плохой раппорт), социальную отгороженность, нарушения абстрактного мышления, снижение спонтанности и непрерывности речи и стереотипное мышление (</w:t>
      </w:r>
      <w:proofErr w:type="spellStart"/>
      <w:r w:rsidRPr="008A07D2">
        <w:t>Kay</w:t>
      </w:r>
      <w:proofErr w:type="spellEnd"/>
      <w:r w:rsidRPr="008A07D2">
        <w:t xml:space="preserve"> и </w:t>
      </w:r>
      <w:proofErr w:type="spellStart"/>
      <w:r w:rsidRPr="008A07D2">
        <w:t>соавт</w:t>
      </w:r>
      <w:proofErr w:type="spellEnd"/>
      <w:r w:rsidRPr="008A07D2">
        <w:t xml:space="preserve">., 1987), тогда как в шкале SANS – </w:t>
      </w:r>
      <w:proofErr w:type="spellStart"/>
      <w:r w:rsidRPr="008A07D2">
        <w:t>алогию</w:t>
      </w:r>
      <w:proofErr w:type="spellEnd"/>
      <w:r w:rsidRPr="008A07D2">
        <w:t xml:space="preserve">, аффективное уплощение, апатию, </w:t>
      </w:r>
      <w:proofErr w:type="spellStart"/>
      <w:r w:rsidRPr="008A07D2">
        <w:t>ангедонию</w:t>
      </w:r>
      <w:proofErr w:type="spellEnd"/>
      <w:r w:rsidRPr="008A07D2">
        <w:t xml:space="preserve">, </w:t>
      </w:r>
      <w:proofErr w:type="spellStart"/>
      <w:r w:rsidRPr="008A07D2">
        <w:t>асоциальность</w:t>
      </w:r>
      <w:proofErr w:type="spellEnd"/>
      <w:r w:rsidRPr="008A07D2">
        <w:t xml:space="preserve"> и нарушения внимания (</w:t>
      </w:r>
      <w:proofErr w:type="spellStart"/>
      <w:r w:rsidRPr="008A07D2">
        <w:t>Andreasen</w:t>
      </w:r>
      <w:proofErr w:type="spellEnd"/>
      <w:r w:rsidRPr="008A07D2">
        <w:t>, 1989).</w:t>
      </w:r>
    </w:p>
    <w:p w:rsidR="008A07D2" w:rsidRPr="008A07D2" w:rsidRDefault="008A07D2" w:rsidP="000E3DD3">
      <w:pPr>
        <w:pStyle w:val="a3"/>
        <w:ind w:firstLine="709"/>
        <w:jc w:val="both"/>
      </w:pPr>
      <w:r w:rsidRPr="008A07D2">
        <w:t>Еще больше разночтений в отношении негативной симптоматики существует в шкале BPRS (</w:t>
      </w:r>
      <w:proofErr w:type="spellStart"/>
      <w:r w:rsidRPr="008A07D2">
        <w:t>Overall</w:t>
      </w:r>
      <w:proofErr w:type="spellEnd"/>
      <w:r w:rsidRPr="008A07D2">
        <w:t xml:space="preserve"> и </w:t>
      </w:r>
      <w:proofErr w:type="spellStart"/>
      <w:r w:rsidRPr="008A07D2">
        <w:t>Gorham</w:t>
      </w:r>
      <w:proofErr w:type="spellEnd"/>
      <w:r w:rsidRPr="008A07D2">
        <w:t xml:space="preserve">, 1962). Не останавливаясь на всех этих противоречиях, отметим, что, на наш взгляд, они имеют объективные трудности, среди которых основное место занимает </w:t>
      </w:r>
      <w:r w:rsidRPr="008A07D2">
        <w:lastRenderedPageBreak/>
        <w:t>слабая структурированность негативной симптоматики по сравнению с продуктивной. Здесь мы имеем в виду то, что четких границ между отдельными негативными симптомами провести просто невозможно и выделение какого-нибудь одного признака среди других подразумевает неизбежное вторжение в семантическое поле других признаков и т.д.</w:t>
      </w:r>
    </w:p>
    <w:p w:rsidR="000E3DD3" w:rsidRDefault="008A07D2" w:rsidP="000E3DD3">
      <w:pPr>
        <w:pStyle w:val="a3"/>
        <w:ind w:firstLine="709"/>
        <w:jc w:val="both"/>
        <w:rPr>
          <w:b/>
          <w:bCs/>
        </w:rPr>
      </w:pPr>
      <w:r w:rsidRPr="008A07D2">
        <w:rPr>
          <w:b/>
          <w:bCs/>
        </w:rPr>
        <w:t xml:space="preserve">Влияние </w:t>
      </w:r>
      <w:proofErr w:type="spellStart"/>
      <w:r w:rsidRPr="008A07D2">
        <w:rPr>
          <w:b/>
          <w:bCs/>
        </w:rPr>
        <w:t>атипичных</w:t>
      </w:r>
      <w:proofErr w:type="spellEnd"/>
      <w:r w:rsidRPr="008A07D2">
        <w:rPr>
          <w:b/>
          <w:bCs/>
        </w:rPr>
        <w:t xml:space="preserve"> нейролептиков на негативную симптоматику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Возвращаясь к </w:t>
      </w:r>
      <w:proofErr w:type="spellStart"/>
      <w:r w:rsidRPr="008A07D2">
        <w:t>атипичным</w:t>
      </w:r>
      <w:proofErr w:type="spellEnd"/>
      <w:r w:rsidRPr="008A07D2">
        <w:t xml:space="preserve"> и классическим нейролептикам, следует учитывать так называемые негативные признаки, на которые они оказывают благотворное действие. При этом, если классические препараты могут приводить к повышению психической активности больных, что находит свое выражение в снижении вялости, заторможенности и за счет этого отгороженности, то </w:t>
      </w:r>
      <w:proofErr w:type="spellStart"/>
      <w:r w:rsidRPr="008A07D2">
        <w:t>атипичные</w:t>
      </w:r>
      <w:proofErr w:type="spellEnd"/>
      <w:r w:rsidRPr="008A07D2">
        <w:t xml:space="preserve"> нейролептики, на наш взгляд, в значительной мере улучшают коммуникационные способности больных шизофренией, что их и отличает от традиционных препаратов.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В этой связи показательны наши неопубликованные данные. </w:t>
      </w:r>
      <w:proofErr w:type="spellStart"/>
      <w:r w:rsidRPr="008A07D2">
        <w:t>Рисперидон</w:t>
      </w:r>
      <w:proofErr w:type="spellEnd"/>
      <w:r w:rsidRPr="008A07D2">
        <w:t xml:space="preserve"> и </w:t>
      </w:r>
      <w:proofErr w:type="spellStart"/>
      <w:r w:rsidRPr="008A07D2">
        <w:t>кветиапин</w:t>
      </w:r>
      <w:proofErr w:type="spellEnd"/>
      <w:r w:rsidRPr="008A07D2">
        <w:t xml:space="preserve"> в течение 6-недельного курса терапии приводили к снижению выраженности двух так называемых речевых негативных признаков. При этом "снижение спонтанности и непрерывности в беседе" снижалось на 59 и 53% соответственно, а редукция другого признака – "снижение общительности" – для препаратов составила 52 и 34% соответственно. В то же время самым торпидным и мало обратимым был признак "нарушения абстрактного мышления", который снижался на 24 и 25%.</w:t>
      </w:r>
    </w:p>
    <w:p w:rsidR="000E3DD3" w:rsidRDefault="008A07D2" w:rsidP="000E3DD3">
      <w:pPr>
        <w:pStyle w:val="a3"/>
        <w:ind w:firstLine="709"/>
        <w:jc w:val="both"/>
      </w:pPr>
      <w:r w:rsidRPr="008A07D2">
        <w:t>Здесь могут обоснованно возникнуть возражения, что улучшение коммуникационных функций у больных шизофренией может носить вторичный характер и возникать за счет первичного стимулирующего эффекта. Тем не менее следует иметь в виду, что при терапии новыми препаратами возникало не просто усиление малопонятной речевой продукции, как можно было ожидать при применении традиционных стимулирующих препаратов, а нормализовалось использование речевых функций по своему назначению. Речь приобретала все более и более содержательный оттенок, начинала нести определенную семантическую информацию, чего не наблюдалось при использовании старых нейролептиков. Этому в какой-то мере соответствовало и улучшение показателя "нарушения абстрактного мышления", хотя они были менее выражены.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Более того, как оказалось, по мере длительного применения </w:t>
      </w:r>
      <w:proofErr w:type="spellStart"/>
      <w:r w:rsidRPr="008A07D2">
        <w:t>рисперидона</w:t>
      </w:r>
      <w:proofErr w:type="spellEnd"/>
      <w:r w:rsidRPr="008A07D2">
        <w:t xml:space="preserve"> (до 1 года) наблюдается нормализация одного из </w:t>
      </w:r>
      <w:proofErr w:type="spellStart"/>
      <w:r w:rsidRPr="008A07D2">
        <w:t>нейрокогнитивных</w:t>
      </w:r>
      <w:proofErr w:type="spellEnd"/>
      <w:r w:rsidRPr="008A07D2">
        <w:t xml:space="preserve"> тестов, отражающего способность давать адекватные ассоциации и осуществлять беглую речь (см. далее). Это в определенной мере также подтверждает предположение о первичном тропизме </w:t>
      </w:r>
      <w:proofErr w:type="spellStart"/>
      <w:r w:rsidRPr="008A07D2">
        <w:t>атипичных</w:t>
      </w:r>
      <w:proofErr w:type="spellEnd"/>
      <w:r w:rsidRPr="008A07D2">
        <w:t xml:space="preserve"> нейролептиков к измененным функциям речи у больных шизофренией.</w:t>
      </w:r>
    </w:p>
    <w:p w:rsidR="008A07D2" w:rsidRPr="008A07D2" w:rsidRDefault="008A07D2" w:rsidP="000E3DD3">
      <w:pPr>
        <w:pStyle w:val="a3"/>
        <w:ind w:firstLine="709"/>
        <w:jc w:val="both"/>
      </w:pPr>
      <w:r w:rsidRPr="008A07D2">
        <w:t xml:space="preserve">Таким образом, </w:t>
      </w:r>
      <w:proofErr w:type="spellStart"/>
      <w:r w:rsidRPr="008A07D2">
        <w:t>атипичные</w:t>
      </w:r>
      <w:proofErr w:type="spellEnd"/>
      <w:r w:rsidRPr="008A07D2">
        <w:t xml:space="preserve"> нейролептики в отличие от традиционных препаратов кардинально изменяют функцию речевого общения у больных шизофренией. Это, вероятно, и является одним из атрибутов </w:t>
      </w:r>
      <w:proofErr w:type="spellStart"/>
      <w:r w:rsidRPr="008A07D2">
        <w:t>атипичных</w:t>
      </w:r>
      <w:proofErr w:type="spellEnd"/>
      <w:r w:rsidRPr="008A07D2">
        <w:t xml:space="preserve"> нейролептиков, хотя данное предположение нуждается в специальных исследованиях.</w:t>
      </w:r>
    </w:p>
    <w:p w:rsidR="000E3DD3" w:rsidRDefault="008A07D2" w:rsidP="000E3DD3">
      <w:pPr>
        <w:pStyle w:val="a3"/>
        <w:ind w:firstLine="709"/>
        <w:jc w:val="both"/>
        <w:rPr>
          <w:b/>
          <w:bCs/>
        </w:rPr>
      </w:pPr>
      <w:r w:rsidRPr="008A07D2">
        <w:rPr>
          <w:b/>
          <w:bCs/>
        </w:rPr>
        <w:t>Значение характера побочных эффектов</w:t>
      </w:r>
    </w:p>
    <w:p w:rsidR="000E3DD3" w:rsidRDefault="008A07D2" w:rsidP="000E3DD3">
      <w:pPr>
        <w:pStyle w:val="a3"/>
        <w:ind w:firstLine="709"/>
        <w:jc w:val="both"/>
      </w:pPr>
      <w:r w:rsidRPr="008A07D2">
        <w:t>Переходя к значению характера побочных неврологических эффектов, следует отметить, что часть старых активирующих нейролептиков (</w:t>
      </w:r>
      <w:proofErr w:type="spellStart"/>
      <w:r w:rsidRPr="008A07D2">
        <w:t>перфеназин</w:t>
      </w:r>
      <w:proofErr w:type="spellEnd"/>
      <w:r w:rsidRPr="008A07D2">
        <w:t xml:space="preserve">, </w:t>
      </w:r>
      <w:proofErr w:type="spellStart"/>
      <w:r w:rsidRPr="008A07D2">
        <w:t>фторфеназин</w:t>
      </w:r>
      <w:proofErr w:type="spellEnd"/>
      <w:r w:rsidRPr="008A07D2">
        <w:t xml:space="preserve">, </w:t>
      </w:r>
      <w:proofErr w:type="spellStart"/>
      <w:r w:rsidRPr="008A07D2">
        <w:t>тиопроперазин</w:t>
      </w:r>
      <w:proofErr w:type="spellEnd"/>
      <w:r w:rsidRPr="008A07D2">
        <w:t xml:space="preserve">, </w:t>
      </w:r>
      <w:proofErr w:type="spellStart"/>
      <w:r w:rsidRPr="008A07D2">
        <w:t>флупентиксол</w:t>
      </w:r>
      <w:proofErr w:type="spellEnd"/>
      <w:r w:rsidRPr="008A07D2">
        <w:t xml:space="preserve">) по мере повышения доз приводят к появлению классической экстрапирамидной симптоматики. Это, на наш взгляд, также не позволяет рассматривать их как </w:t>
      </w:r>
      <w:proofErr w:type="spellStart"/>
      <w:r w:rsidRPr="008A07D2">
        <w:t>атипичные</w:t>
      </w:r>
      <w:proofErr w:type="spellEnd"/>
      <w:r w:rsidRPr="008A07D2">
        <w:t xml:space="preserve">. Правда, </w:t>
      </w:r>
      <w:proofErr w:type="spellStart"/>
      <w:r w:rsidRPr="008A07D2">
        <w:t>тиоридазин</w:t>
      </w:r>
      <w:proofErr w:type="spellEnd"/>
      <w:r w:rsidRPr="008A07D2">
        <w:t xml:space="preserve"> (</w:t>
      </w:r>
      <w:proofErr w:type="spellStart"/>
      <w:r w:rsidRPr="008A07D2">
        <w:t>сонапакс</w:t>
      </w:r>
      <w:proofErr w:type="spellEnd"/>
      <w:r w:rsidRPr="008A07D2">
        <w:t xml:space="preserve">) и </w:t>
      </w:r>
      <w:proofErr w:type="spellStart"/>
      <w:r w:rsidRPr="008A07D2">
        <w:t>сульпирид</w:t>
      </w:r>
      <w:proofErr w:type="spellEnd"/>
      <w:r w:rsidRPr="008A07D2">
        <w:t xml:space="preserve"> (</w:t>
      </w:r>
      <w:proofErr w:type="spellStart"/>
      <w:r w:rsidRPr="008A07D2">
        <w:t>эглонил</w:t>
      </w:r>
      <w:proofErr w:type="spellEnd"/>
      <w:r w:rsidRPr="008A07D2">
        <w:t xml:space="preserve">) практически не вызывают экстрапирамидного синдрома. В отношении </w:t>
      </w:r>
      <w:proofErr w:type="spellStart"/>
      <w:r w:rsidRPr="008A07D2">
        <w:t>тиоридазина</w:t>
      </w:r>
      <w:proofErr w:type="spellEnd"/>
      <w:r w:rsidRPr="008A07D2">
        <w:t xml:space="preserve"> это легко объяснить, поскольку препарат сам по себе обладает выраженным </w:t>
      </w:r>
      <w:proofErr w:type="spellStart"/>
      <w:r w:rsidRPr="008A07D2">
        <w:t>холинолитическим</w:t>
      </w:r>
      <w:proofErr w:type="spellEnd"/>
      <w:r w:rsidRPr="008A07D2">
        <w:t xml:space="preserve"> эффектом и, таким образом, действует как корректор своих же побочных эффектов. </w:t>
      </w:r>
      <w:proofErr w:type="spellStart"/>
      <w:r w:rsidRPr="008A07D2">
        <w:t>Сульпирид</w:t>
      </w:r>
      <w:proofErr w:type="spellEnd"/>
      <w:r w:rsidRPr="008A07D2">
        <w:t xml:space="preserve">, по-видимому, действительно свободен от побочных экстрапирамидных эффектов, но вопрос о его </w:t>
      </w:r>
      <w:proofErr w:type="spellStart"/>
      <w:r w:rsidRPr="008A07D2">
        <w:t>антинегативном</w:t>
      </w:r>
      <w:proofErr w:type="spellEnd"/>
      <w:r w:rsidRPr="008A07D2">
        <w:t xml:space="preserve"> эффекте пока не получил однозначного решения.</w:t>
      </w:r>
    </w:p>
    <w:p w:rsidR="000E3DD3" w:rsidRDefault="008A07D2" w:rsidP="000E3DD3">
      <w:pPr>
        <w:pStyle w:val="a3"/>
        <w:ind w:firstLine="709"/>
        <w:jc w:val="both"/>
      </w:pPr>
      <w:r w:rsidRPr="008A07D2">
        <w:t>Интересно, что новые (</w:t>
      </w:r>
      <w:proofErr w:type="spellStart"/>
      <w:r w:rsidRPr="008A07D2">
        <w:t>атипичные</w:t>
      </w:r>
      <w:proofErr w:type="spellEnd"/>
      <w:r w:rsidRPr="008A07D2">
        <w:t xml:space="preserve">) нейролептики, если и вызывают побочные неврологические эффекты, то наиболее частым является нейролептическая </w:t>
      </w:r>
      <w:proofErr w:type="spellStart"/>
      <w:r w:rsidRPr="008A07D2">
        <w:t>акатизия</w:t>
      </w:r>
      <w:proofErr w:type="spellEnd"/>
      <w:r w:rsidRPr="008A07D2">
        <w:t>. Острые дистонии (</w:t>
      </w:r>
      <w:proofErr w:type="spellStart"/>
      <w:r w:rsidRPr="008A07D2">
        <w:t>дискинезии</w:t>
      </w:r>
      <w:proofErr w:type="spellEnd"/>
      <w:r w:rsidRPr="008A07D2">
        <w:t xml:space="preserve">), нейролептический паркинсонизм и поздняя </w:t>
      </w:r>
      <w:proofErr w:type="spellStart"/>
      <w:r w:rsidRPr="008A07D2">
        <w:t>дискинезия</w:t>
      </w:r>
      <w:proofErr w:type="spellEnd"/>
      <w:r w:rsidRPr="008A07D2">
        <w:t xml:space="preserve"> при применении этих препаратов практически не возникают, если они применяются в правильном режиме доз. Напротив, необоснованное завышение доз </w:t>
      </w:r>
      <w:proofErr w:type="spellStart"/>
      <w:r w:rsidRPr="008A07D2">
        <w:t>рисперидона</w:t>
      </w:r>
      <w:proofErr w:type="spellEnd"/>
      <w:r w:rsidRPr="008A07D2">
        <w:t xml:space="preserve"> может приводить к развитию экстрапирамидного синдрома в виде умеренного паркинсонизма, но это наблюдается крайне редко.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Механизм развития нейролептической </w:t>
      </w:r>
      <w:proofErr w:type="spellStart"/>
      <w:r w:rsidRPr="008A07D2">
        <w:t>акатизии</w:t>
      </w:r>
      <w:proofErr w:type="spellEnd"/>
      <w:r w:rsidRPr="008A07D2">
        <w:t xml:space="preserve"> до конца не ясен, хотя известно, что корректоры </w:t>
      </w:r>
      <w:proofErr w:type="spellStart"/>
      <w:r w:rsidRPr="008A07D2">
        <w:t>холинолитического</w:t>
      </w:r>
      <w:proofErr w:type="spellEnd"/>
      <w:r w:rsidRPr="008A07D2">
        <w:t xml:space="preserve"> ряда при этом осложнении не помогают, тогда как наиболее обоснованным является назначение </w:t>
      </w:r>
      <w:proofErr w:type="spellStart"/>
      <w:r w:rsidRPr="008A07D2">
        <w:t>b-адреноблокаторов</w:t>
      </w:r>
      <w:proofErr w:type="spellEnd"/>
      <w:r w:rsidRPr="008A07D2">
        <w:t xml:space="preserve">, в частности, </w:t>
      </w:r>
      <w:proofErr w:type="spellStart"/>
      <w:r w:rsidRPr="008A07D2">
        <w:t>анаприлина</w:t>
      </w:r>
      <w:proofErr w:type="spellEnd"/>
      <w:r w:rsidRPr="008A07D2">
        <w:t xml:space="preserve"> (</w:t>
      </w:r>
      <w:proofErr w:type="spellStart"/>
      <w:r w:rsidRPr="008A07D2">
        <w:t>пропранолола</w:t>
      </w:r>
      <w:proofErr w:type="spellEnd"/>
      <w:r w:rsidRPr="008A07D2">
        <w:t>) до 40–80 мг в сутки.</w:t>
      </w:r>
    </w:p>
    <w:p w:rsidR="008A07D2" w:rsidRPr="008A07D2" w:rsidRDefault="008A07D2" w:rsidP="000E3DD3">
      <w:pPr>
        <w:pStyle w:val="a3"/>
        <w:ind w:firstLine="709"/>
        <w:jc w:val="both"/>
      </w:pPr>
      <w:r w:rsidRPr="008A07D2">
        <w:t xml:space="preserve">Поздняя </w:t>
      </w:r>
      <w:proofErr w:type="spellStart"/>
      <w:r w:rsidRPr="008A07D2">
        <w:t>дискинезия</w:t>
      </w:r>
      <w:proofErr w:type="spellEnd"/>
      <w:r w:rsidRPr="008A07D2">
        <w:t xml:space="preserve"> под влиянием </w:t>
      </w:r>
      <w:proofErr w:type="spellStart"/>
      <w:r w:rsidRPr="008A07D2">
        <w:t>атипичных</w:t>
      </w:r>
      <w:proofErr w:type="spellEnd"/>
      <w:r w:rsidRPr="008A07D2">
        <w:t xml:space="preserve"> (новых) нейролептиков не только не появляется, но, если была раньше, эффективно разрешается. Это, на наш взгляд, также позволяет отграничить новые нейролептики от классических с активирующим эффектом. </w:t>
      </w:r>
    </w:p>
    <w:p w:rsidR="000E3DD3" w:rsidRDefault="008A07D2" w:rsidP="000E3DD3">
      <w:pPr>
        <w:pStyle w:val="a3"/>
        <w:ind w:firstLine="709"/>
        <w:jc w:val="both"/>
        <w:rPr>
          <w:b/>
          <w:bCs/>
        </w:rPr>
      </w:pPr>
      <w:proofErr w:type="spellStart"/>
      <w:r w:rsidRPr="008A07D2">
        <w:rPr>
          <w:b/>
          <w:bCs/>
        </w:rPr>
        <w:t>Атипичные</w:t>
      </w:r>
      <w:proofErr w:type="spellEnd"/>
      <w:r w:rsidRPr="008A07D2">
        <w:rPr>
          <w:b/>
          <w:bCs/>
        </w:rPr>
        <w:t xml:space="preserve"> нейролептики и познавательная функция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В последнее время, однако, помимо указанных особенностей выделяют еще одну. К ней относят благотворное влияние </w:t>
      </w:r>
      <w:proofErr w:type="spellStart"/>
      <w:r w:rsidRPr="008A07D2">
        <w:t>атипичных</w:t>
      </w:r>
      <w:proofErr w:type="spellEnd"/>
      <w:r w:rsidRPr="008A07D2">
        <w:t xml:space="preserve"> нейролептиков на протекание </w:t>
      </w:r>
      <w:proofErr w:type="spellStart"/>
      <w:r w:rsidRPr="008A07D2">
        <w:t>нейрокогнитивных</w:t>
      </w:r>
      <w:proofErr w:type="spellEnd"/>
      <w:r w:rsidRPr="008A07D2">
        <w:t xml:space="preserve"> процессов у больных шизофренией (</w:t>
      </w:r>
      <w:proofErr w:type="spellStart"/>
      <w:r w:rsidRPr="008A07D2">
        <w:t>Meltzer</w:t>
      </w:r>
      <w:proofErr w:type="spellEnd"/>
      <w:r w:rsidRPr="008A07D2">
        <w:t xml:space="preserve"> и </w:t>
      </w:r>
      <w:proofErr w:type="spellStart"/>
      <w:r w:rsidRPr="008A07D2">
        <w:t>McGurk</w:t>
      </w:r>
      <w:proofErr w:type="spellEnd"/>
      <w:r w:rsidRPr="008A07D2">
        <w:t>, 1999).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Именно последняя особенность и отличает принципиально </w:t>
      </w:r>
      <w:proofErr w:type="spellStart"/>
      <w:r w:rsidRPr="008A07D2">
        <w:t>атипичные</w:t>
      </w:r>
      <w:proofErr w:type="spellEnd"/>
      <w:r w:rsidRPr="008A07D2">
        <w:t xml:space="preserve"> нейролептики от классических препаратов. Последние, как известно, сами по себе вызывают значительное ухудшение </w:t>
      </w:r>
      <w:proofErr w:type="spellStart"/>
      <w:r w:rsidRPr="008A07D2">
        <w:t>нейрокогнитивных</w:t>
      </w:r>
      <w:proofErr w:type="spellEnd"/>
      <w:r w:rsidRPr="008A07D2">
        <w:t xml:space="preserve"> процессов. При этом нарушается выполнение специальных тестов, требующих мобилизации исполнительных функций, функций речи, оперативной памяти и внимания. Существенно, что корректоры </w:t>
      </w:r>
      <w:proofErr w:type="spellStart"/>
      <w:r w:rsidRPr="008A07D2">
        <w:t>холинолитического</w:t>
      </w:r>
      <w:proofErr w:type="spellEnd"/>
      <w:r w:rsidRPr="008A07D2">
        <w:t xml:space="preserve"> ряда (</w:t>
      </w:r>
      <w:proofErr w:type="spellStart"/>
      <w:r w:rsidRPr="008A07D2">
        <w:t>паркопан</w:t>
      </w:r>
      <w:proofErr w:type="spellEnd"/>
      <w:r w:rsidRPr="008A07D2">
        <w:t xml:space="preserve">, </w:t>
      </w:r>
      <w:proofErr w:type="spellStart"/>
      <w:r w:rsidRPr="008A07D2">
        <w:t>акинетон</w:t>
      </w:r>
      <w:proofErr w:type="spellEnd"/>
      <w:r w:rsidRPr="008A07D2">
        <w:t xml:space="preserve">) сами по себе не только не улучшают, но и ухудшают показатели </w:t>
      </w:r>
      <w:proofErr w:type="spellStart"/>
      <w:r w:rsidRPr="008A07D2">
        <w:t>нейрокогнитивного</w:t>
      </w:r>
      <w:proofErr w:type="spellEnd"/>
      <w:r w:rsidRPr="008A07D2">
        <w:t xml:space="preserve"> функционирования. Отрицательный эффект оказывают и транквилизаторы </w:t>
      </w:r>
      <w:proofErr w:type="spellStart"/>
      <w:r w:rsidRPr="008A07D2">
        <w:t>бензодиазепинового</w:t>
      </w:r>
      <w:proofErr w:type="spellEnd"/>
      <w:r w:rsidRPr="008A07D2">
        <w:t xml:space="preserve"> ряда и антидепрессанты. Поэтому </w:t>
      </w:r>
      <w:proofErr w:type="spellStart"/>
      <w:r w:rsidRPr="008A07D2">
        <w:t>атипичные</w:t>
      </w:r>
      <w:proofErr w:type="spellEnd"/>
      <w:r w:rsidRPr="008A07D2">
        <w:t xml:space="preserve"> нейролептики в этом плане являются пока единственным исключением. Во всяком случае, увеличивающийся поток публикаций по новым </w:t>
      </w:r>
      <w:proofErr w:type="spellStart"/>
      <w:r w:rsidRPr="008A07D2">
        <w:t>антипсихотическим</w:t>
      </w:r>
      <w:proofErr w:type="spellEnd"/>
      <w:r w:rsidRPr="008A07D2">
        <w:t xml:space="preserve"> препаратам продолжает подтверждать их эффективность в плане устранения </w:t>
      </w:r>
      <w:proofErr w:type="spellStart"/>
      <w:r w:rsidRPr="008A07D2">
        <w:t>нейрокогнитивных</w:t>
      </w:r>
      <w:proofErr w:type="spellEnd"/>
      <w:r w:rsidRPr="008A07D2">
        <w:t xml:space="preserve"> нарушений у больных шизофренией по мере длительного применения.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Вероятно, что часть </w:t>
      </w:r>
      <w:proofErr w:type="spellStart"/>
      <w:r w:rsidRPr="008A07D2">
        <w:t>нейрокогнитивных</w:t>
      </w:r>
      <w:proofErr w:type="spellEnd"/>
      <w:r w:rsidRPr="008A07D2">
        <w:t xml:space="preserve"> расстройств (каких именно, еще предстоит выяснить) является показателями, </w:t>
      </w:r>
      <w:proofErr w:type="spellStart"/>
      <w:r w:rsidRPr="008A07D2">
        <w:t>коррелирующими</w:t>
      </w:r>
      <w:proofErr w:type="spellEnd"/>
      <w:r w:rsidRPr="008A07D2">
        <w:t xml:space="preserve"> не столько с психическим состоянием больных, сколько с параметрами, отражающими особую предрасположенность к заболеванию шизофренией. Ранее подобные характеристики в специальной психиатрической литературе получили название </w:t>
      </w:r>
      <w:proofErr w:type="spellStart"/>
      <w:r w:rsidRPr="008A07D2">
        <w:t>trait</w:t>
      </w:r>
      <w:proofErr w:type="spellEnd"/>
      <w:r w:rsidRPr="008A07D2">
        <w:t xml:space="preserve"> </w:t>
      </w:r>
      <w:proofErr w:type="spellStart"/>
      <w:r w:rsidRPr="008A07D2">
        <w:t>markers</w:t>
      </w:r>
      <w:proofErr w:type="spellEnd"/>
      <w:r w:rsidRPr="008A07D2">
        <w:t xml:space="preserve"> и противопоставлялись </w:t>
      </w:r>
      <w:proofErr w:type="spellStart"/>
      <w:r w:rsidRPr="008A07D2">
        <w:t>state</w:t>
      </w:r>
      <w:proofErr w:type="spellEnd"/>
      <w:r w:rsidRPr="008A07D2">
        <w:t xml:space="preserve"> </w:t>
      </w:r>
      <w:proofErr w:type="spellStart"/>
      <w:r w:rsidRPr="008A07D2">
        <w:t>markers</w:t>
      </w:r>
      <w:proofErr w:type="spellEnd"/>
      <w:r w:rsidRPr="008A07D2">
        <w:t xml:space="preserve">, т.е. показателям статуса больного. Подобная дихотомия соприкасается с представлениями </w:t>
      </w:r>
      <w:proofErr w:type="spellStart"/>
      <w:r w:rsidRPr="008A07D2">
        <w:t>А.В.Снежневского</w:t>
      </w:r>
      <w:proofErr w:type="spellEnd"/>
      <w:r w:rsidRPr="008A07D2">
        <w:t xml:space="preserve"> (1973) о "</w:t>
      </w:r>
      <w:proofErr w:type="spellStart"/>
      <w:r w:rsidRPr="008A07D2">
        <w:t>Nosos</w:t>
      </w:r>
      <w:proofErr w:type="spellEnd"/>
      <w:r w:rsidRPr="008A07D2">
        <w:t xml:space="preserve"> </w:t>
      </w:r>
      <w:proofErr w:type="spellStart"/>
      <w:r w:rsidRPr="008A07D2">
        <w:t>et</w:t>
      </w:r>
      <w:proofErr w:type="spellEnd"/>
      <w:r w:rsidRPr="008A07D2">
        <w:t xml:space="preserve"> </w:t>
      </w:r>
      <w:proofErr w:type="spellStart"/>
      <w:r w:rsidRPr="008A07D2">
        <w:t>pathos</w:t>
      </w:r>
      <w:proofErr w:type="spellEnd"/>
      <w:r w:rsidRPr="008A07D2">
        <w:t xml:space="preserve"> </w:t>
      </w:r>
      <w:proofErr w:type="spellStart"/>
      <w:r w:rsidRPr="008A07D2">
        <w:t>schizophreniae</w:t>
      </w:r>
      <w:proofErr w:type="spellEnd"/>
      <w:r w:rsidRPr="008A07D2">
        <w:t xml:space="preserve">", что подразумевает наличие особого типа мышления и даже изменений личности у здоровых родственников больных шизофренией. Иначе говоря, даже при явном отсутствии указаний на </w:t>
      </w:r>
      <w:proofErr w:type="spellStart"/>
      <w:r w:rsidRPr="008A07D2">
        <w:t>манифестные</w:t>
      </w:r>
      <w:proofErr w:type="spellEnd"/>
      <w:r w:rsidRPr="008A07D2">
        <w:t xml:space="preserve"> психозы у близких родственников больных шизофренией, в их мышлении можно увидеть особую специфику, близкую к больным шизофренией, а в образе жизни – особый стиль, который ранее в немецкоязычной литературе получил название "</w:t>
      </w:r>
      <w:proofErr w:type="spellStart"/>
      <w:r w:rsidRPr="008A07D2">
        <w:t>verschrobenheit</w:t>
      </w:r>
      <w:proofErr w:type="spellEnd"/>
      <w:r w:rsidRPr="008A07D2">
        <w:t>".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Основываясь на предварительных результатах исследования и обширных данных литературы, можно предположить, что </w:t>
      </w:r>
      <w:proofErr w:type="spellStart"/>
      <w:r w:rsidRPr="008A07D2">
        <w:t>атипичные</w:t>
      </w:r>
      <w:proofErr w:type="spellEnd"/>
      <w:r w:rsidRPr="008A07D2">
        <w:t xml:space="preserve"> нейролептики по гамме своих клинических эффектов адресуются не только к психопатологической симптоматике в традиционном понимании, но и к познавательным нарушениям на </w:t>
      </w:r>
      <w:proofErr w:type="spellStart"/>
      <w:r w:rsidRPr="008A07D2">
        <w:t>субклиническом</w:t>
      </w:r>
      <w:proofErr w:type="spellEnd"/>
      <w:r w:rsidRPr="008A07D2">
        <w:t xml:space="preserve"> уровне у здоровых родственников больных шизофренией и больных в </w:t>
      </w:r>
      <w:proofErr w:type="spellStart"/>
      <w:r w:rsidRPr="008A07D2">
        <w:t>преморбидном</w:t>
      </w:r>
      <w:proofErr w:type="spellEnd"/>
      <w:r w:rsidRPr="008A07D2">
        <w:t xml:space="preserve"> периоде. Данное предположение носит сугубо умозрительный и спекулятивный характер, тем не менее, если оно будет подтверждено, то </w:t>
      </w:r>
      <w:proofErr w:type="spellStart"/>
      <w:r w:rsidRPr="008A07D2">
        <w:t>атипичные</w:t>
      </w:r>
      <w:proofErr w:type="spellEnd"/>
      <w:r w:rsidRPr="008A07D2">
        <w:t xml:space="preserve"> нейролептики можно будет использовать как профилактические препараты в группах риска по шизофрении, т.е. у родственников первой степени родства.</w:t>
      </w:r>
    </w:p>
    <w:p w:rsidR="008A07D2" w:rsidRPr="008A07D2" w:rsidRDefault="008A07D2" w:rsidP="000E3DD3">
      <w:pPr>
        <w:pStyle w:val="a3"/>
        <w:ind w:firstLine="709"/>
        <w:jc w:val="both"/>
      </w:pPr>
      <w:r w:rsidRPr="008A07D2">
        <w:t xml:space="preserve">Возвращаясь к </w:t>
      </w:r>
      <w:proofErr w:type="spellStart"/>
      <w:r w:rsidRPr="008A07D2">
        <w:t>атипичным</w:t>
      </w:r>
      <w:proofErr w:type="spellEnd"/>
      <w:r w:rsidRPr="008A07D2">
        <w:t xml:space="preserve"> нейролептикам, следует сказать, что именно они (</w:t>
      </w:r>
      <w:proofErr w:type="spellStart"/>
      <w:r w:rsidRPr="008A07D2">
        <w:t>рисперидон</w:t>
      </w:r>
      <w:proofErr w:type="spellEnd"/>
      <w:r w:rsidRPr="008A07D2">
        <w:t xml:space="preserve">, </w:t>
      </w:r>
      <w:proofErr w:type="spellStart"/>
      <w:r w:rsidRPr="008A07D2">
        <w:t>кветиапин</w:t>
      </w:r>
      <w:proofErr w:type="spellEnd"/>
      <w:r w:rsidRPr="008A07D2">
        <w:t xml:space="preserve"> и </w:t>
      </w:r>
      <w:proofErr w:type="spellStart"/>
      <w:r w:rsidRPr="008A07D2">
        <w:t>оланзапин</w:t>
      </w:r>
      <w:proofErr w:type="spellEnd"/>
      <w:r w:rsidRPr="008A07D2">
        <w:t xml:space="preserve">) позволяют нормализовать протекание познавательных функций у больных шизофренией и именно в этом состоит их принципиальное отличие от старых нейролептиков, в том числе и переходных. Во всяком случае, данные литературы по эффективному влиянию таких препаратов, как </w:t>
      </w:r>
      <w:proofErr w:type="spellStart"/>
      <w:r w:rsidRPr="008A07D2">
        <w:t>тиоридазин</w:t>
      </w:r>
      <w:proofErr w:type="spellEnd"/>
      <w:r w:rsidRPr="008A07D2">
        <w:t xml:space="preserve">, </w:t>
      </w:r>
      <w:proofErr w:type="spellStart"/>
      <w:r w:rsidRPr="008A07D2">
        <w:t>сульпирид</w:t>
      </w:r>
      <w:proofErr w:type="spellEnd"/>
      <w:r w:rsidRPr="008A07D2">
        <w:t xml:space="preserve"> и </w:t>
      </w:r>
      <w:proofErr w:type="spellStart"/>
      <w:r w:rsidRPr="008A07D2">
        <w:t>флупентиксол</w:t>
      </w:r>
      <w:proofErr w:type="spellEnd"/>
      <w:r w:rsidRPr="008A07D2">
        <w:t xml:space="preserve">, на </w:t>
      </w:r>
      <w:proofErr w:type="spellStart"/>
      <w:r w:rsidRPr="008A07D2">
        <w:t>нейрокогнитивные</w:t>
      </w:r>
      <w:proofErr w:type="spellEnd"/>
      <w:r w:rsidRPr="008A07D2">
        <w:t xml:space="preserve"> процессы при шизофрении пока отсутствуют. Из этого следует, что указанные старые препараты не могут пока с полным основанием считаться </w:t>
      </w:r>
      <w:proofErr w:type="spellStart"/>
      <w:r w:rsidRPr="008A07D2">
        <w:t>атипичными</w:t>
      </w:r>
      <w:proofErr w:type="spellEnd"/>
      <w:r w:rsidRPr="008A07D2">
        <w:t>, хотя не исключено, что и в этой области они могут вызывать положительный эффект.</w:t>
      </w:r>
    </w:p>
    <w:p w:rsidR="000E3DD3" w:rsidRDefault="008A07D2" w:rsidP="000E3DD3">
      <w:pPr>
        <w:pStyle w:val="a3"/>
        <w:ind w:firstLine="709"/>
        <w:jc w:val="both"/>
        <w:rPr>
          <w:b/>
          <w:bCs/>
        </w:rPr>
      </w:pPr>
      <w:r w:rsidRPr="008A07D2">
        <w:rPr>
          <w:b/>
          <w:bCs/>
        </w:rPr>
        <w:t>Механизм действия и клинический эффект</w:t>
      </w:r>
    </w:p>
    <w:p w:rsidR="000E3DD3" w:rsidRDefault="008A07D2" w:rsidP="000E3DD3">
      <w:pPr>
        <w:pStyle w:val="a3"/>
        <w:ind w:firstLine="709"/>
        <w:jc w:val="both"/>
      </w:pPr>
      <w:r w:rsidRPr="008A07D2">
        <w:t>Весьма интригующим в психофармакологии остается вопрос о соотношении механизма действия того или иного препарата со спектром вызываемых им клинических эффектов.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Применительно к традиционным нейролептикам ответ на данный вопрос был получен давно, и сейчас считается, что их механизм действия имеет одну общую особенность – способность блокировать D </w:t>
      </w:r>
      <w:r w:rsidRPr="008A07D2">
        <w:rPr>
          <w:vertAlign w:val="subscript"/>
        </w:rPr>
        <w:t xml:space="preserve">2 </w:t>
      </w:r>
      <w:r w:rsidRPr="008A07D2">
        <w:t>-</w:t>
      </w:r>
      <w:proofErr w:type="spellStart"/>
      <w:r w:rsidRPr="008A07D2">
        <w:t>дофаминергические</w:t>
      </w:r>
      <w:proofErr w:type="spellEnd"/>
      <w:r w:rsidRPr="008A07D2">
        <w:t xml:space="preserve"> рецепторы. В отношении новых нейролептиков все остается гораздо сложнее, хотя определенные предположения имеются.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Полагают, что в механизме действия </w:t>
      </w:r>
      <w:proofErr w:type="spellStart"/>
      <w:r w:rsidRPr="008A07D2">
        <w:t>атипичных</w:t>
      </w:r>
      <w:proofErr w:type="spellEnd"/>
      <w:r w:rsidRPr="008A07D2">
        <w:t xml:space="preserve"> нейролептиков далеко не последнюю роль играет их способность блокировать 5-НТ </w:t>
      </w:r>
      <w:r w:rsidRPr="008A07D2">
        <w:rPr>
          <w:vertAlign w:val="subscript"/>
        </w:rPr>
        <w:t xml:space="preserve">2А </w:t>
      </w:r>
      <w:r w:rsidRPr="008A07D2">
        <w:t>-</w:t>
      </w:r>
      <w:proofErr w:type="spellStart"/>
      <w:r w:rsidRPr="008A07D2">
        <w:t>серотонинергические</w:t>
      </w:r>
      <w:proofErr w:type="spellEnd"/>
      <w:r w:rsidRPr="008A07D2">
        <w:t xml:space="preserve"> рецепторы. Действительно, для большинства новых нейролептиков это является как бы их общим знаменателем. Проблема, однако, усложняется тем, что подобное свойство наблюдается не только у </w:t>
      </w:r>
      <w:proofErr w:type="spellStart"/>
      <w:r w:rsidRPr="008A07D2">
        <w:t>атипичных</w:t>
      </w:r>
      <w:proofErr w:type="spellEnd"/>
      <w:r w:rsidRPr="008A07D2">
        <w:t>, но и у некоторых классических нейролептиков.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В этой связи было предположено, что большее значение имеют не показатели абсолютного связывания нейролептиками 5-НТ- </w:t>
      </w:r>
      <w:r w:rsidRPr="008A07D2">
        <w:rPr>
          <w:vertAlign w:val="subscript"/>
        </w:rPr>
        <w:t xml:space="preserve">2А </w:t>
      </w:r>
      <w:r w:rsidRPr="008A07D2">
        <w:t xml:space="preserve">-рецепторов, а отношение этого показателя к величине связывания D </w:t>
      </w:r>
      <w:r w:rsidRPr="008A07D2">
        <w:rPr>
          <w:vertAlign w:val="subscript"/>
        </w:rPr>
        <w:t xml:space="preserve">2 </w:t>
      </w:r>
      <w:r w:rsidRPr="008A07D2">
        <w:t>-</w:t>
      </w:r>
      <w:proofErr w:type="spellStart"/>
      <w:r w:rsidRPr="008A07D2">
        <w:t>дофаминергических</w:t>
      </w:r>
      <w:proofErr w:type="spellEnd"/>
      <w:r w:rsidRPr="008A07D2">
        <w:t xml:space="preserve"> рецепторов.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Основные данные по этим закономерностям представлены ниже в таблице для большинства </w:t>
      </w:r>
      <w:proofErr w:type="spellStart"/>
      <w:r w:rsidRPr="008A07D2">
        <w:t>атипичных</w:t>
      </w:r>
      <w:proofErr w:type="spellEnd"/>
      <w:r w:rsidRPr="008A07D2">
        <w:t xml:space="preserve"> и некоторых традиционных </w:t>
      </w:r>
      <w:proofErr w:type="spellStart"/>
      <w:r w:rsidRPr="008A07D2">
        <w:t>антипсихотических</w:t>
      </w:r>
      <w:proofErr w:type="spellEnd"/>
      <w:r w:rsidRPr="008A07D2">
        <w:t xml:space="preserve"> препаратов.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Как следует из представленной таблицы, действительно, способность блокировать </w:t>
      </w:r>
      <w:proofErr w:type="spellStart"/>
      <w:r w:rsidRPr="008A07D2">
        <w:t>серотонинергические</w:t>
      </w:r>
      <w:proofErr w:type="spellEnd"/>
      <w:r w:rsidRPr="008A07D2">
        <w:t xml:space="preserve"> рецепторы в наибольшей мере характерна для </w:t>
      </w:r>
      <w:proofErr w:type="spellStart"/>
      <w:r w:rsidRPr="008A07D2">
        <w:t>атипичных</w:t>
      </w:r>
      <w:proofErr w:type="spellEnd"/>
      <w:r w:rsidRPr="008A07D2">
        <w:t xml:space="preserve"> нейролептиков, хотя достаточно сильно выражена и у таких классических препаратов, как </w:t>
      </w:r>
      <w:proofErr w:type="spellStart"/>
      <w:r w:rsidRPr="008A07D2">
        <w:t>хлорпромазин</w:t>
      </w:r>
      <w:proofErr w:type="spellEnd"/>
      <w:r w:rsidRPr="008A07D2">
        <w:t xml:space="preserve"> (3-е место) и </w:t>
      </w:r>
      <w:proofErr w:type="spellStart"/>
      <w:r w:rsidRPr="008A07D2">
        <w:t>локсапин</w:t>
      </w:r>
      <w:proofErr w:type="spellEnd"/>
      <w:r w:rsidRPr="008A07D2">
        <w:t xml:space="preserve"> (4-е место). В то же время у </w:t>
      </w:r>
      <w:proofErr w:type="spellStart"/>
      <w:r w:rsidRPr="008A07D2">
        <w:t>атипичного</w:t>
      </w:r>
      <w:proofErr w:type="spellEnd"/>
      <w:r w:rsidRPr="008A07D2">
        <w:t xml:space="preserve"> препарата </w:t>
      </w:r>
      <w:proofErr w:type="spellStart"/>
      <w:r w:rsidRPr="008A07D2">
        <w:t>кветиапин</w:t>
      </w:r>
      <w:proofErr w:type="spellEnd"/>
      <w:r w:rsidRPr="008A07D2">
        <w:t xml:space="preserve"> эта способность выражена весьма слабо (2-е место от конца).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Не дает полного представления и способность связываться с </w:t>
      </w:r>
      <w:proofErr w:type="spellStart"/>
      <w:r w:rsidRPr="008A07D2">
        <w:t>ДА-рецепторами</w:t>
      </w:r>
      <w:proofErr w:type="spellEnd"/>
      <w:r w:rsidRPr="008A07D2">
        <w:t xml:space="preserve">, равно как и значение отношений связывания с </w:t>
      </w:r>
      <w:proofErr w:type="spellStart"/>
      <w:r w:rsidRPr="008A07D2">
        <w:t>серотонинергическими</w:t>
      </w:r>
      <w:proofErr w:type="spellEnd"/>
      <w:r w:rsidRPr="008A07D2">
        <w:t xml:space="preserve"> рецепторами к </w:t>
      </w:r>
      <w:proofErr w:type="spellStart"/>
      <w:r w:rsidRPr="008A07D2">
        <w:t>дофаминергическим</w:t>
      </w:r>
      <w:proofErr w:type="spellEnd"/>
      <w:r w:rsidRPr="008A07D2">
        <w:t xml:space="preserve"> рецепторам. Примечательно, что по значению последнего показателя </w:t>
      </w:r>
      <w:proofErr w:type="spellStart"/>
      <w:r w:rsidRPr="008A07D2">
        <w:t>хлорпромазин</w:t>
      </w:r>
      <w:proofErr w:type="spellEnd"/>
      <w:r w:rsidRPr="008A07D2">
        <w:t xml:space="preserve"> превосходит в 2,6 раза </w:t>
      </w:r>
      <w:proofErr w:type="spellStart"/>
      <w:r w:rsidRPr="008A07D2">
        <w:t>рисперидон</w:t>
      </w:r>
      <w:proofErr w:type="spellEnd"/>
      <w:r w:rsidRPr="008A07D2">
        <w:t xml:space="preserve">, 11,4 раза </w:t>
      </w:r>
      <w:proofErr w:type="spellStart"/>
      <w:r w:rsidRPr="008A07D2">
        <w:t>сертиндол</w:t>
      </w:r>
      <w:proofErr w:type="spellEnd"/>
      <w:r w:rsidRPr="008A07D2">
        <w:t xml:space="preserve">, 4,9 раза </w:t>
      </w:r>
      <w:proofErr w:type="spellStart"/>
      <w:r w:rsidRPr="008A07D2">
        <w:t>оланзапин</w:t>
      </w:r>
      <w:proofErr w:type="spellEnd"/>
      <w:r w:rsidRPr="008A07D2">
        <w:t xml:space="preserve"> и 24,8 раза </w:t>
      </w:r>
      <w:proofErr w:type="spellStart"/>
      <w:r w:rsidRPr="008A07D2">
        <w:t>кветиапин</w:t>
      </w:r>
      <w:proofErr w:type="spellEnd"/>
      <w:r w:rsidRPr="008A07D2">
        <w:t xml:space="preserve">. Иначе говоря, если следовать предложенной парадигме, согласно которой у </w:t>
      </w:r>
      <w:proofErr w:type="spellStart"/>
      <w:r w:rsidRPr="008A07D2">
        <w:t>атипичных</w:t>
      </w:r>
      <w:proofErr w:type="spellEnd"/>
      <w:r w:rsidRPr="008A07D2">
        <w:t xml:space="preserve"> нейролептиков тропизм к </w:t>
      </w:r>
      <w:proofErr w:type="spellStart"/>
      <w:r w:rsidRPr="008A07D2">
        <w:t>серотонинергическим</w:t>
      </w:r>
      <w:proofErr w:type="spellEnd"/>
      <w:r w:rsidRPr="008A07D2">
        <w:t xml:space="preserve"> рецепторам должен превышать сродство к D </w:t>
      </w:r>
      <w:r w:rsidRPr="008A07D2">
        <w:rPr>
          <w:vertAlign w:val="subscript"/>
        </w:rPr>
        <w:t xml:space="preserve">2 </w:t>
      </w:r>
      <w:r w:rsidRPr="008A07D2">
        <w:t>-</w:t>
      </w:r>
      <w:proofErr w:type="spellStart"/>
      <w:r w:rsidRPr="008A07D2">
        <w:t>ДА-рецепторам</w:t>
      </w:r>
      <w:proofErr w:type="spellEnd"/>
      <w:r w:rsidRPr="008A07D2">
        <w:t xml:space="preserve">, то </w:t>
      </w:r>
      <w:proofErr w:type="spellStart"/>
      <w:r w:rsidRPr="008A07D2">
        <w:t>хлорпромазин</w:t>
      </w:r>
      <w:proofErr w:type="spellEnd"/>
      <w:r w:rsidRPr="008A07D2">
        <w:t xml:space="preserve">, как и </w:t>
      </w:r>
      <w:proofErr w:type="spellStart"/>
      <w:r w:rsidRPr="008A07D2">
        <w:t>локсапин</w:t>
      </w:r>
      <w:proofErr w:type="spellEnd"/>
      <w:r w:rsidRPr="008A07D2">
        <w:t xml:space="preserve">, с полным основанием должен считаться </w:t>
      </w:r>
      <w:proofErr w:type="spellStart"/>
      <w:r w:rsidRPr="008A07D2">
        <w:t>атипичным</w:t>
      </w:r>
      <w:proofErr w:type="spellEnd"/>
      <w:r w:rsidRPr="008A07D2">
        <w:t xml:space="preserve"> нейролептиком, что звучит как нонсенс.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С другой стороны, </w:t>
      </w:r>
      <w:proofErr w:type="spellStart"/>
      <w:r w:rsidRPr="008A07D2">
        <w:t>кветиапин</w:t>
      </w:r>
      <w:proofErr w:type="spellEnd"/>
      <w:r w:rsidRPr="008A07D2">
        <w:t>, у которого показатели этого отношения составляют менее 1, должен рассматриваться как классический нейролептик, что также противоречит клинической реальности.</w:t>
      </w:r>
    </w:p>
    <w:p w:rsidR="000E3DD3" w:rsidRDefault="008A07D2" w:rsidP="000E3DD3">
      <w:pPr>
        <w:pStyle w:val="a3"/>
        <w:ind w:firstLine="709"/>
        <w:jc w:val="both"/>
      </w:pPr>
      <w:r w:rsidRPr="008A07D2">
        <w:t xml:space="preserve">Таким образом, можно считать, что соответствия между клиническим и нейрохимическим подходом в оценке принадлежности препаратов к группе типичных или </w:t>
      </w:r>
      <w:proofErr w:type="spellStart"/>
      <w:r w:rsidRPr="008A07D2">
        <w:t>атипичных</w:t>
      </w:r>
      <w:proofErr w:type="spellEnd"/>
      <w:r w:rsidRPr="008A07D2">
        <w:t xml:space="preserve"> не существует. Очевидно, в расчет необходимо принимать комплекс и других нейрорецепторных взаимодействий и именно из этого и может возникнуть относительно правильное представление о месте препарата в системе координат по "</w:t>
      </w:r>
      <w:proofErr w:type="spellStart"/>
      <w:r w:rsidRPr="008A07D2">
        <w:t>типичности-атипичности</w:t>
      </w:r>
      <w:proofErr w:type="spellEnd"/>
      <w:r w:rsidRPr="008A07D2">
        <w:t xml:space="preserve">". Вполне вероятно, что определяющим здесь будет конечный результат взаимодействия нескольких </w:t>
      </w:r>
      <w:proofErr w:type="spellStart"/>
      <w:r w:rsidRPr="008A07D2">
        <w:t>нейромедиаторных</w:t>
      </w:r>
      <w:proofErr w:type="spellEnd"/>
      <w:r w:rsidRPr="008A07D2">
        <w:t xml:space="preserve"> систем, что еще требуется установить.</w:t>
      </w:r>
    </w:p>
    <w:p w:rsidR="008A07D2" w:rsidRPr="008A07D2" w:rsidRDefault="008A07D2" w:rsidP="000E3DD3">
      <w:pPr>
        <w:pStyle w:val="a3"/>
        <w:ind w:firstLine="709"/>
        <w:jc w:val="both"/>
      </w:pPr>
      <w:r w:rsidRPr="008A07D2">
        <w:t>С другой стороны, категория "</w:t>
      </w:r>
      <w:proofErr w:type="spellStart"/>
      <w:r w:rsidRPr="008A07D2">
        <w:t>типичности-атипичности</w:t>
      </w:r>
      <w:proofErr w:type="spellEnd"/>
      <w:r w:rsidRPr="008A07D2">
        <w:t xml:space="preserve">" основана пока исключительно на клинических закономерностях, биологическая суть которых пока еще не ясна. Это в конечном счете указывает на то, что различия между классическими и </w:t>
      </w:r>
      <w:proofErr w:type="spellStart"/>
      <w:r w:rsidRPr="008A07D2">
        <w:t>атипичными</w:t>
      </w:r>
      <w:proofErr w:type="spellEnd"/>
      <w:r w:rsidRPr="008A07D2">
        <w:t xml:space="preserve"> нейролептиками могут носить весьма условный и количественный характер, что не позволяет говорить о жестком противопоставлении этих групп препаратов.</w:t>
      </w:r>
    </w:p>
    <w:sectPr w:rsidR="008A07D2" w:rsidRPr="008A07D2" w:rsidSect="000E3D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D2"/>
    <w:rsid w:val="000E3DD3"/>
    <w:rsid w:val="00751E16"/>
    <w:rsid w:val="008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A07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A07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проблеме отграничения новых нейролептиков от классических</vt:lpstr>
    </vt:vector>
  </TitlesOfParts>
  <Company>HOME</Company>
  <LinksUpToDate>false</LinksUpToDate>
  <CharactersWithSpaces>17384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проблеме отграничения новых нейролептиков от классических</dc:title>
  <dc:creator>USER</dc:creator>
  <cp:lastModifiedBy>Igor</cp:lastModifiedBy>
  <cp:revision>2</cp:revision>
  <dcterms:created xsi:type="dcterms:W3CDTF">2024-03-06T20:48:00Z</dcterms:created>
  <dcterms:modified xsi:type="dcterms:W3CDTF">2024-03-06T20:48:00Z</dcterms:modified>
</cp:coreProperties>
</file>