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4080"/>
  <w:body>
    <w:p w:rsidR="00000000" w:rsidRDefault="006F6107">
      <w:pPr>
        <w:widowControl w:val="0"/>
        <w:tabs>
          <w:tab w:val="left" w:pos="9690"/>
        </w:tabs>
        <w:spacing w:before="120"/>
        <w:jc w:val="center"/>
        <w:rPr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b/>
          <w:bCs/>
          <w:sz w:val="32"/>
          <w:szCs w:val="32"/>
        </w:rPr>
        <w:t>Клиническая компьютерная томография</w:t>
      </w:r>
    </w:p>
    <w:p w:rsidR="00000000" w:rsidRDefault="006F6107">
      <w:pPr>
        <w:widowControl w:val="0"/>
        <w:spacing w:before="120"/>
        <w:ind w:firstLine="567"/>
        <w:jc w:val="both"/>
      </w:pPr>
      <w:r>
        <w:t>В современной медицине наметилась тенденция к технизации процесса обследования больного, когда прессинг информа</w:t>
      </w:r>
      <w:r>
        <w:t>ции, добытой инструментальным путем, ставит под сомнение выводы врача, сделанные им на основании личного опыта и базирующиеся на традиционных методах диагностики. Вот под этим углом зрения, не преувеличивая и не умаляя достоинств метода, хотелось бы погово</w:t>
      </w:r>
      <w:r>
        <w:t xml:space="preserve">рить на тему, что такое компьютерная томография (КТ), обсудить ее роль в современном диагностическом процессе и возможные точки ее приложения. </w:t>
      </w:r>
    </w:p>
    <w:p w:rsidR="00000000" w:rsidRDefault="006F6107">
      <w:pPr>
        <w:widowControl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Г. Кармазановский, доктор медицинских наук, профессор, НИИ хирургии, Москва </w:t>
      </w:r>
    </w:p>
    <w:p w:rsidR="00000000" w:rsidRDefault="006F6107">
      <w:pPr>
        <w:widowControl w:val="0"/>
        <w:spacing w:before="120"/>
        <w:ind w:firstLine="567"/>
        <w:jc w:val="both"/>
      </w:pPr>
      <w:r>
        <w:t xml:space="preserve">Отцами-основателями КТ являются </w:t>
      </w:r>
      <w:r>
        <w:t>математик Кормак, теоретически обосновавший возможность получения информации и построения КТ-изображения, и инженер-практик Хаунсфилд, реализовавший идею на практике. В марте 1973 года впервые была получена картина внутренней структуры вещества головного м</w:t>
      </w:r>
      <w:r>
        <w:t>озга с указанием локализации зоны поражения. Это сейчас звучит буднично, но 25 лет назад впервые в мире человечество получило возможность заглянуть внутрь живого мозга и судить о нарушениях в нем не по косвенным признакам — изменению структуры костей череп</w:t>
      </w:r>
      <w:r>
        <w:t xml:space="preserve">а и ангиоархитектоники сосудов мозга, а изучать морфологические изменения самого субстрата, дифференцировать серое и белое вещество! Идея и ее материальное воплощение покорили мир. И вот уже на потребителей посыпались компьютерные томографы I, II, III, IV </w:t>
      </w:r>
      <w:r>
        <w:t xml:space="preserve">поколений. Последние два поколения отличаются друг от друга характером взаимоотношения детекторов, принимающих рентгеновское излучение, прошедшее через поперечную плоскость человеческого тела, и рентгеновской трубки, вращающейся вокруг оси пациента. </w:t>
      </w:r>
    </w:p>
    <w:p w:rsidR="00000000" w:rsidRDefault="00165C84">
      <w:pPr>
        <w:widowControl w:val="0"/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743200" cy="2743200"/>
            <wp:effectExtent l="0" t="0" r="0" b="0"/>
            <wp:docPr id="1" name="Рисунок 1" descr="D:\ref\Пользователи\медицина\Клиническая компьютерная томография  Сайт практического рентгенолога.files\k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f\Пользователи\медицина\Клиническая компьютерная томография  Сайт практического рентгенолога.files\kt1.jpe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F6107">
      <w:pPr>
        <w:widowControl w:val="0"/>
        <w:spacing w:before="120"/>
        <w:ind w:firstLine="567"/>
        <w:jc w:val="both"/>
      </w:pPr>
      <w:r>
        <w:t xml:space="preserve">Рис. 1 Компьютерная томограмма брюшной полости. Уровень ворот левой почки, в которой выявляется объемное образование с четкими ровными контурами, гомогенной структуры, низкой плотности </w:t>
      </w:r>
    </w:p>
    <w:p w:rsidR="00000000" w:rsidRDefault="006F6107">
      <w:pPr>
        <w:widowControl w:val="0"/>
        <w:spacing w:before="120"/>
        <w:ind w:firstLine="567"/>
        <w:jc w:val="both"/>
      </w:pPr>
      <w:r>
        <w:t xml:space="preserve">Большинство современных установок — это аппараты третьего поколения. </w:t>
      </w:r>
      <w:r>
        <w:t>И если на аппаратах первого поколения процесс снятия информации и получения “картинки” занимал минуты, на аппаратах второго — десятки секунд, то на томографах используемых с 80-х годов, счет идет на секунды. Причем последние восемь лет, когда в обиход вошл</w:t>
      </w:r>
      <w:r>
        <w:t xml:space="preserve">и спиральные компьютерные томографы и электронно-лучевые КТ, речь идет о секундах и их долях. </w:t>
      </w:r>
    </w:p>
    <w:p w:rsidR="00000000" w:rsidRDefault="006F6107">
      <w:pPr>
        <w:widowControl w:val="0"/>
        <w:spacing w:before="120"/>
        <w:ind w:firstLine="567"/>
        <w:jc w:val="both"/>
      </w:pPr>
      <w:r>
        <w:t xml:space="preserve">Итак, диагносты получили возможность посмотреть на объект исследования в новой, </w:t>
      </w:r>
      <w:r>
        <w:lastRenderedPageBreak/>
        <w:t>поперечной проекции, ранее доступной для изучения только анатомам. В историческом</w:t>
      </w:r>
      <w:r>
        <w:t xml:space="preserve"> плане существует хорошо известный аналог компьютерной томографии — “пироговские срезы” замороженного трупа, рисунки которого идентичны качественным КТ-изображениям. </w:t>
      </w:r>
    </w:p>
    <w:p w:rsidR="00000000" w:rsidRDefault="00165C84">
      <w:pPr>
        <w:widowControl w:val="0"/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743200" cy="2743200"/>
            <wp:effectExtent l="0" t="0" r="0" b="0"/>
            <wp:docPr id="2" name="Рисунок 2" descr="D:\ref\Пользователи\медицина\Клиническая компьютерная томография  Сайт практического рентгенолога.files\k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f\Пользователи\медицина\Клиническая компьютерная томография  Сайт практического рентгенолога.files\kt2.jpe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F6107">
      <w:pPr>
        <w:widowControl w:val="0"/>
        <w:spacing w:before="120"/>
        <w:ind w:firstLine="567"/>
        <w:jc w:val="both"/>
      </w:pPr>
      <w:r>
        <w:t>Рис. 2 Тот же больной. Выполнено контрастное усиление (артериальная фаза), хорошо д</w:t>
      </w:r>
      <w:r>
        <w:t xml:space="preserve">ифференцируется кортикальный слой почек, образование не контрастируется — киста </w:t>
      </w:r>
    </w:p>
    <w:p w:rsidR="00000000" w:rsidRDefault="006F6107">
      <w:pPr>
        <w:widowControl w:val="0"/>
        <w:spacing w:before="120"/>
        <w:ind w:firstLine="567"/>
        <w:jc w:val="both"/>
      </w:pPr>
      <w:r>
        <w:t>Запросы неврологии и нейрохирургии успешно разрешались с помощью этого нового, нетрадиционного метода диагностики. Нейрорадиология (по западной терминологии) внесла огромный в</w:t>
      </w:r>
      <w:r>
        <w:t xml:space="preserve">клад в изучение и понимание течения многих заболеваний ЦНС. Надо сказать, что вначале даже существовали специальные аппараты — компьютерные томографы для исследования головы. </w:t>
      </w:r>
    </w:p>
    <w:p w:rsidR="00000000" w:rsidRDefault="006F6107">
      <w:pPr>
        <w:widowControl w:val="0"/>
        <w:tabs>
          <w:tab w:val="left" w:pos="7766"/>
        </w:tabs>
        <w:spacing w:before="120"/>
        <w:ind w:left="68" w:firstLine="567"/>
      </w:pPr>
      <w:r>
        <w:t>Информация, получаемая с помощью КТ, абсолютно объективна и измеряется в единица</w:t>
      </w:r>
      <w:r>
        <w:t xml:space="preserve">х компьютерной томографии (ед. Хаунсфилда) </w:t>
      </w:r>
    </w:p>
    <w:p w:rsidR="00000000" w:rsidRDefault="006F6107">
      <w:pPr>
        <w:widowControl w:val="0"/>
        <w:spacing w:before="120"/>
        <w:ind w:firstLine="567"/>
        <w:jc w:val="both"/>
      </w:pPr>
      <w:r>
        <w:t>Технический прогресс привел к совершенствованию аппаратуры: появились более мощные, скоростные аппараты, приспособленные для исследования всего тела пациента. Диагностика заболеваний легких, органов брюшной полос</w:t>
      </w:r>
      <w:r>
        <w:t>ти стала второй, наиболее распространенной областью использования КТ. При исследовании органов грудной клетки стало возможным дифференцировать структуры средостения и корней легких, изучать тончайшие отклонения в структуре “воздушной” ткани легкого (выявля</w:t>
      </w:r>
      <w:r>
        <w:t>ть буллы, нежные тени фиброза и др.). И если в классической рентгенологии семиотика заболеваний легких изучена и апробирована на миллионах исследований на протяжении десятилетий, и КТ дополнила и обогатила классическую рентгеносемиотику заболеваний, то при</w:t>
      </w:r>
      <w:r>
        <w:t xml:space="preserve"> заболеваниях брюшной полости внутренняя структура паренхиматозных органов, таких как печень, поджелудочная железа, селезенка, почки и др., стала “откровением” при прижизненном их исследовании у пациента, не подвергающегося диагностическим лапаротомиям. Се</w:t>
      </w:r>
      <w:r>
        <w:t>йчас врачи спорят о том, что лучше — ультразвуковые методы исследования, КТ или магнитно-резонансная томография. Но всего лишь два десятка лет назад, когда в результате компьютерно-томографического исследования стало возможно получить цельное представление</w:t>
      </w:r>
      <w:r>
        <w:t xml:space="preserve"> о структуре и взаимоотношении органов, это был действительно революционный шаг в неинвазивной диагностике заболеваний внутренних органов. </w:t>
      </w:r>
      <w:r>
        <w:br/>
      </w:r>
      <w:r>
        <w:br/>
        <w:t>На чем основана КТ? На способности различных органов и тканей (как здоровых, так и патологически измененных) поглощ</w:t>
      </w:r>
      <w:r>
        <w:t xml:space="preserve">ать рентгеновское излучение. В свою очередь, ослабление рентгеновского излучения фиксируется специальными датчиками, сигнал от которых поступает для анализа в компьютер. В результате сложных математических расчетов </w:t>
      </w:r>
      <w:r>
        <w:lastRenderedPageBreak/>
        <w:t xml:space="preserve">пространственное взаимоотношение точек с </w:t>
      </w:r>
      <w:r>
        <w:t>различной способностью к поглощению рентгеновского излучения можно представить в виде математических таблиц, графиков, а еще более наглядно — в виде графической “картинки”. Чем с большего количества детекторов используется информация, тем выше ее качество.</w:t>
      </w:r>
      <w:r>
        <w:t xml:space="preserve"> Такое изображение отличается от получаемого при прохождении через ткани ультразвукового сигнала тем, что не несет на себе отпечатка субъективизма, присущего УЗИ, при котором изображение одного и того же органа будет выглядеть по-разному даже в течение одн</w:t>
      </w:r>
      <w:r>
        <w:t xml:space="preserve">ой диагностической процедуры, в зависимости от положения датчика. </w:t>
      </w:r>
    </w:p>
    <w:p w:rsidR="00000000" w:rsidRDefault="00165C84">
      <w:pPr>
        <w:widowControl w:val="0"/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743200" cy="2743200"/>
            <wp:effectExtent l="0" t="0" r="0" b="0"/>
            <wp:docPr id="3" name="Рисунок 3" descr="D:\ref\Пользователи\медицина\Клиническая компьютерная томография  Сайт практического рентгенолога.files\kt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ef\Пользователи\медицина\Клиническая компьютерная томография  Сайт практического рентгенолога.files\kt3.jpe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F6107">
      <w:pPr>
        <w:widowControl w:val="0"/>
        <w:spacing w:before="120"/>
        <w:ind w:firstLine="567"/>
        <w:jc w:val="both"/>
      </w:pPr>
      <w:r>
        <w:t xml:space="preserve">Рис. 3 Тот же больной. Выполнена реконструкция изображения во фронтальной плоскости </w:t>
      </w:r>
    </w:p>
    <w:p w:rsidR="00000000" w:rsidRDefault="006F6107">
      <w:pPr>
        <w:widowControl w:val="0"/>
        <w:spacing w:before="120"/>
        <w:ind w:firstLine="567"/>
        <w:jc w:val="both"/>
      </w:pPr>
      <w:r>
        <w:t>Получаемая в результате КТ картина абсолютно объективна, ее возможно оценивать и изучать на монито</w:t>
      </w:r>
      <w:r>
        <w:t xml:space="preserve">ре прибора, фиксировать на бумаге либо рентгеновской пленке, проводить сравнения и сопоставления в течение какого-то периода времени, если мы имеем дело со сложными диагностическими случаями; наконец, эта информация объективна еще и по причине привнесения </w:t>
      </w:r>
      <w:r>
        <w:t>в нее некоего физического смысла — способность тканей поглощать рентгеновское излучение оценивается в единицах компьютерной томографии (наиболее широко известных как единицы Хаунсфилда). Это основополагающее свойство, которое роднит КТ скорее с физикой, оп</w:t>
      </w:r>
      <w:r>
        <w:t>ерирующей точными представлениями о явлении, нежели с рентгенологией, в основе которой лежит способность врача (исследователя) при трактовке явления с помощью своих чувств, эмоционального настроя передать информацию о сути выявленной патологии. Ведь ни для</w:t>
      </w:r>
      <w:r>
        <w:t xml:space="preserve"> кого не секрет, что одно и то же изображение каждый из нас воспринимает субъективно, с учетом глубины понимания и собственно восприятия процесса, — вот почему рентгенологическому описанию доверяют лишь тогда, когда хорошо знают врача, а в остальных случая</w:t>
      </w:r>
      <w:r>
        <w:t>х предпочитают подкрепить информацию из описания рентгенологического исследования собственной трактовкой изображения области патологии и требуют от больного рентгеновские снимки. КТ объективна в этой части диагностического процесса — по заданной схеме можн</w:t>
      </w:r>
      <w:r>
        <w:t xml:space="preserve">о выполнить набор измерений и получить объективную информацию, она не зависит от органов чувств исследователя, но существует сама по себе и обусловлена особенностями изучаемого процесса. </w:t>
      </w:r>
    </w:p>
    <w:p w:rsidR="00000000" w:rsidRDefault="00165C84">
      <w:pPr>
        <w:widowControl w:val="0"/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743200" cy="2743200"/>
            <wp:effectExtent l="0" t="0" r="0" b="0"/>
            <wp:docPr id="4" name="Рисунок 4" descr="D:\ref\Пользователи\медицина\Клиническая компьютерная томография  Сайт практического рентгенолога.files\kt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ref\Пользователи\медицина\Клиническая компьютерная томография  Сайт практического рентгенолога.files\kt4.jpe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F6107">
      <w:pPr>
        <w:widowControl w:val="0"/>
        <w:spacing w:before="120"/>
        <w:ind w:firstLine="567"/>
        <w:jc w:val="both"/>
      </w:pPr>
      <w:r>
        <w:t xml:space="preserve">Рис. 4 Реконструкция изображения в сагиттальной плоскости </w:t>
      </w:r>
    </w:p>
    <w:p w:rsidR="00000000" w:rsidRDefault="006F6107">
      <w:pPr>
        <w:widowControl w:val="0"/>
        <w:spacing w:before="120"/>
        <w:ind w:firstLine="567"/>
        <w:jc w:val="both"/>
      </w:pPr>
      <w:r>
        <w:t>Кажд</w:t>
      </w:r>
      <w:r>
        <w:t>ое достижение в диагностике порождает своего рода эйфорию, от его использования ожидают небывалого эффекта. На практике сложный диагностический процесс сопровождается ограничениями самого метода. Так, очень скоро врачи столкнулись с проблемой дифференциаци</w:t>
      </w:r>
      <w:r>
        <w:t>и органов и тканей, имеющих равную или очень близкую плотность по шкале Хаунсфилда. Особенно актуально это при диагностике метастазов в печень, а также при разграничении опухоли и непораженной паренхимы, например в поджелудочной железе. Проблему пытались р</w:t>
      </w:r>
      <w:r>
        <w:t>ешить путем диагностических биопсий, выполняемых под контролем КТ чрескожным доступом тонкими биопсийными иглами. Однако пунктировать образование малых размеров практически вслепую, лишь по ориентирам, полученным на томограмме, проблематично, поэтому метод</w:t>
      </w:r>
      <w:r>
        <w:t>ика пункционных вмешательств при КТ не получила широкого распространения. Во многом это обусловлено еще и тем, что в арсенале диагностов появились пункционные датчики ультразвуковых аппаратов, которые позволяют практически в режиме реального времени контро</w:t>
      </w:r>
      <w:r>
        <w:t>лировать ход кончика пункционной иглы. Справедливости ради следует отметить, что методика диагностических и лечебных чрескожных вмешательств в последние годы переживает второе рождение; особенно эффективна она при использовании специальных приставок, позво</w:t>
      </w:r>
      <w:r>
        <w:t>ляющих направлять под заданным углом пункционную иглу на заданное расстояние, а на некоторых моделях компьютерных томографов ее ход можно контролировать и ультразвуковым датчиком либо портативным рентгеновским аппаратом (Picker). Возможности инвазивных вме</w:t>
      </w:r>
      <w:r>
        <w:t>шательств под контролем КТ еще до конца не изучены, особую ценность методика имеет при вмешательствах на органах и костях таза, позвоночнике и т. д. Под контролем КТ сейчас проводят волоконно-оптические приборы и микрохирургические инструменты в поврежденн</w:t>
      </w:r>
      <w:r>
        <w:t>ые участки дисков позвонков и выполняют тончайшие операции. Таких примеров использования КТ, как метод контроля за выполнением хирургических вмешательств, можно привести много. Один из них — применение мобильных компьютерных томографов (Tomoscan M, Philips</w:t>
      </w:r>
      <w:r>
        <w:t>) в операционных во время хирургических вмешательств, когда, например, топография структур головного мозга после вскрытия черепной коробки и вмешательства на патологическом очаге резко меняется и во время операции требуется постоянная коррекция в оценке вз</w:t>
      </w:r>
      <w:r>
        <w:t xml:space="preserve">аимоотношения анатомических структур. </w:t>
      </w:r>
    </w:p>
    <w:p w:rsidR="00000000" w:rsidRDefault="00165C84">
      <w:pPr>
        <w:widowControl w:val="0"/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743200" cy="2743200"/>
            <wp:effectExtent l="0" t="0" r="0" b="0"/>
            <wp:docPr id="5" name="Рисунок 5" descr="D:\ref\Пользователи\медицина\Клиническая компьютерная томография  Сайт практического рентгенолога.files\kt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ref\Пользователи\медицина\Клиническая компьютерная томография  Сайт практического рентгенолога.files\kt5.jpe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F6107">
      <w:pPr>
        <w:widowControl w:val="0"/>
        <w:spacing w:before="120"/>
        <w:ind w:firstLine="567"/>
        <w:jc w:val="both"/>
      </w:pPr>
      <w:r>
        <w:t xml:space="preserve">Рис. 5 Трехмерная реконструкция почек. Хорошо определяется взаимоотношение кисты (на переднем плане) и непораженной паренхимы </w:t>
      </w:r>
    </w:p>
    <w:p w:rsidR="00000000" w:rsidRDefault="006F6107">
      <w:pPr>
        <w:widowControl w:val="0"/>
        <w:spacing w:before="120"/>
        <w:ind w:firstLine="567"/>
        <w:jc w:val="both"/>
      </w:pPr>
    </w:p>
    <w:p w:rsidR="00000000" w:rsidRDefault="006F6107">
      <w:pPr>
        <w:widowControl w:val="0"/>
        <w:tabs>
          <w:tab w:val="left" w:pos="7766"/>
        </w:tabs>
        <w:spacing w:before="120"/>
        <w:ind w:left="68" w:firstLine="567"/>
      </w:pPr>
      <w:r>
        <w:t>Каждое новейшее открытие в физике или технике неминуемо находит воплощение в медици</w:t>
      </w:r>
      <w:r>
        <w:t>не; ярким примером тому может служить открытие Рентгена и блистательное его внедрение во врачебную практику. Компьютерную томографию (КТ) можно рассматривать как новый виток в развитии рентгенологии, в свою очередь принципы математической обработки при пос</w:t>
      </w:r>
      <w:r>
        <w:t xml:space="preserve">троении изображения при КТ легли в основу безлучевого метода исследования — магнитно-резонансной томографии </w:t>
      </w:r>
    </w:p>
    <w:p w:rsidR="00000000" w:rsidRDefault="006F6107">
      <w:pPr>
        <w:widowControl w:val="0"/>
        <w:spacing w:before="120"/>
        <w:ind w:firstLine="567"/>
        <w:jc w:val="both"/>
      </w:pPr>
      <w:r>
        <w:t>Диагностический процесс при КТ постоянно усложнялся в целях совершенствования получаемых результатов. Базисная особенность исследования — разгранич</w:t>
      </w:r>
      <w:r>
        <w:t xml:space="preserve">ение структур, отличающихся по плотности, была успешно использована при так называемом внутривенном контрастном усилении во время КТ-исследования. Действительно, те или иные органы, патологические и неизмененные структуры имеют приток крови разной степени </w:t>
      </w:r>
      <w:r>
        <w:t>выраженности, обусловленный различиями в типе кровоснабжения и его скорости. Знание особенностей контрастирования здоровых и пораженных тканей позволяет четко дифференцировать их границы и тем самым устанавливать истинное количество патологических образова</w:t>
      </w:r>
      <w:r>
        <w:t>ний, а знание особенностей КТ-картины патологических образований при контрастном усилении позволяет их дифференцировать, не прибегая даже к методам пункционной биопсии. Особое развитие контрастное усиление получило при использовании так называемой методики</w:t>
      </w:r>
      <w:r>
        <w:t xml:space="preserve"> динамической КТ, когда на одном уровне делают несколько сканирований через определенные временные промежутки от начала введения контрастного вещества. С появлением спиральной КТ с интервалом между сканами 1 секунда компьютерную томографию с болюсным контр</w:t>
      </w:r>
      <w:r>
        <w:t>астным усилением можно рассматривать как метод визуализации сосудов, в том числе артериальных. Это роднит ее с цифровой субтракционной ангиографией, но в отличие от последней позволяет оценивать контрастированные сосуды в их взаимоотношении с органами либо</w:t>
      </w:r>
      <w:r>
        <w:t xml:space="preserve"> их прохождение внутри здорового или патологически измененного органа. Наиболее значимые диагностические результаты достигаются при сравнении данных исследования в так называемую нативную фазу (до начала введения контрастного вещества) и двух фаз исследова</w:t>
      </w:r>
      <w:r>
        <w:t>ния после введения контрастного вещества (артериальная и венозная фазы). Естественно, что для получения достаточно протяженного болюса (“сгустка” концентрированного контрастного вещества в кровеносном русле) требуется большой объем рентгеноконтрастного вещ</w:t>
      </w:r>
      <w:r>
        <w:t>ества, которое бы легко переносилось пациентом и не вызывало аллергических реакций. Такими свойствами обладают самые эффективные современные неионные рентгеноконтрастные средства, например Ультравист-300 “Шеринг“, Омнипак-300 или Визипак-270 “Никомед-Амерш</w:t>
      </w:r>
      <w:r>
        <w:t>ам”. Диагностическая информация из поперечных срезов тела пациента может быть представлена в виде многоплоскостных либо объемных (трехмерных) реконструкций, которые позволяют наглядно оценить всю сложность анатомических взаимоотношений. Особенно эффективны</w:t>
      </w:r>
      <w:r>
        <w:t xml:space="preserve"> для выполнения трехмерных реконструкций программы рабочих станций, позволяющие в полуавтоматическом режиме “шлифовать” поперечные срезы, убирая структуры, аналогичные по плотности, но заведомо не относящиеся к исследуемому объекту, например рабочая станци</w:t>
      </w:r>
      <w:r>
        <w:t xml:space="preserve">я Easy Vision, Philips (рис. 1-5). </w:t>
      </w:r>
    </w:p>
    <w:p w:rsidR="00000000" w:rsidRDefault="006F6107">
      <w:pPr>
        <w:widowControl w:val="0"/>
        <w:spacing w:before="120"/>
        <w:ind w:firstLine="567"/>
        <w:jc w:val="both"/>
      </w:pPr>
      <w:r>
        <w:t>Компьютерные технологии шагнули так далеко, что сейчас предметом диагностического процесса становится так называемая “виртуальная” эндоскопия, при которой можно перемещаться внутри реконструированного объекта с точной ко</w:t>
      </w:r>
      <w:r>
        <w:t xml:space="preserve">ординатной привязкой на поперечных срезах, что особенно важно при исследовании участков кишки, бронхов, протоков, находящихся за патологическим сужением, пройти которое реальному эндоскопу невозможно, а “виртуальному” под силу. </w:t>
      </w:r>
    </w:p>
    <w:p w:rsidR="00000000" w:rsidRDefault="006F6107">
      <w:pPr>
        <w:widowControl w:val="0"/>
        <w:spacing w:before="120"/>
        <w:ind w:firstLine="567"/>
        <w:jc w:val="both"/>
      </w:pPr>
      <w:r>
        <w:t>Направления клинического ис</w:t>
      </w:r>
      <w:r>
        <w:t>пользования КТ постоянно множатся и сейчас. Например, многие ученые рассматривают “низкодозную” КТ как альтернативу флюороскопии при диагностике заболеваний легких и т. д. В этой статье мы лишь коснулись основных вопросов, связанных с возможностями клиниче</w:t>
      </w:r>
      <w:r>
        <w:t xml:space="preserve">ского применения КТ. В последующих работах будут рассмотрены частные вопросы КТ-диагностики самых различных заболеваний. </w:t>
      </w:r>
    </w:p>
    <w:p w:rsidR="00000000" w:rsidRDefault="006F6107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6F6107" w:rsidRDefault="006F6107">
      <w:pPr>
        <w:widowControl w:val="0"/>
        <w:spacing w:before="120"/>
        <w:ind w:firstLine="590"/>
        <w:jc w:val="both"/>
      </w:pPr>
      <w:r>
        <w:t xml:space="preserve">Для подготовки данной работы были использованы материалы с сайта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http://www.antibiotic.ru/</w:t>
        </w:r>
      </w:hyperlink>
    </w:p>
    <w:sectPr w:rsidR="006F6107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84"/>
    <w:rsid w:val="00165C84"/>
    <w:rsid w:val="006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26178E-FCDA-43E5-AEA6-B08EDE77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Verdana" w:hAnsi="Verdana" w:cs="Verdana"/>
      <w:color w:val="004080"/>
      <w:sz w:val="14"/>
      <w:szCs w:val="14"/>
      <w:u w:val="single"/>
      <w:shd w:val="clear" w:color="auto" w:fill="auto"/>
    </w:rPr>
  </w:style>
  <w:style w:type="character" w:styleId="a4">
    <w:name w:val="FollowedHyperlink"/>
    <w:basedOn w:val="a0"/>
    <w:uiPriority w:val="99"/>
    <w:rPr>
      <w:rFonts w:ascii="Verdana" w:hAnsi="Verdana" w:cs="Verdana"/>
      <w:color w:val="004080"/>
      <w:sz w:val="14"/>
      <w:szCs w:val="14"/>
      <w:u w:val="single"/>
      <w:shd w:val="clear" w:color="auto" w:fill="auto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5"/>
      <w:szCs w:val="15"/>
    </w:rPr>
  </w:style>
  <w:style w:type="paragraph" w:styleId="a6">
    <w:name w:val="Title"/>
    <w:basedOn w:val="a"/>
    <w:link w:val="a7"/>
    <w:uiPriority w:val="99"/>
    <w:qFormat/>
    <w:pPr>
      <w:spacing w:before="100" w:beforeAutospacing="1" w:after="100" w:afterAutospacing="1"/>
    </w:pPr>
    <w:rPr>
      <w:rFonts w:ascii="Verdana" w:hAnsi="Verdana" w:cs="Verdana"/>
      <w:b/>
      <w:bCs/>
      <w:sz w:val="18"/>
      <w:szCs w:val="18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customStyle="1" w:styleId="content">
    <w:name w:val="conten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5"/>
      <w:szCs w:val="15"/>
    </w:rPr>
  </w:style>
  <w:style w:type="paragraph" w:customStyle="1" w:styleId="content11">
    <w:name w:val="content11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5"/>
      <w:szCs w:val="15"/>
    </w:rPr>
  </w:style>
  <w:style w:type="paragraph" w:customStyle="1" w:styleId="block-title">
    <w:name w:val="block-title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FFFFFF"/>
      <w:sz w:val="14"/>
      <w:szCs w:val="14"/>
    </w:rPr>
  </w:style>
  <w:style w:type="paragraph" w:customStyle="1" w:styleId="storytitle">
    <w:name w:val="storytitle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storycat">
    <w:name w:val="storycat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4"/>
      <w:szCs w:val="14"/>
      <w:u w:val="single"/>
    </w:rPr>
  </w:style>
  <w:style w:type="paragraph" w:customStyle="1" w:styleId="boxtitle">
    <w:name w:val="boxtitle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color w:val="auto"/>
      <w:sz w:val="14"/>
      <w:szCs w:val="14"/>
    </w:rPr>
  </w:style>
  <w:style w:type="paragraph" w:customStyle="1" w:styleId="boxcontent">
    <w:name w:val="boxconten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5"/>
      <w:szCs w:val="15"/>
    </w:rPr>
  </w:style>
  <w:style w:type="paragraph" w:customStyle="1" w:styleId="option">
    <w:name w:val="option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sz w:val="14"/>
      <w:szCs w:val="14"/>
    </w:rPr>
  </w:style>
  <w:style w:type="paragraph" w:customStyle="1" w:styleId="tiny">
    <w:name w:val="tiny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color w:val="000000"/>
      <w:sz w:val="16"/>
      <w:szCs w:val="16"/>
    </w:rPr>
  </w:style>
  <w:style w:type="character" w:styleId="a8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ref\&#1055;&#1086;&#1083;&#1100;&#1079;&#1086;&#1074;&#1072;&#1090;&#1077;&#1083;&#1080;\&#1084;&#1077;&#1076;&#1080;&#1094;&#1080;&#1085;&#1072;\&#1050;&#1083;&#1080;&#1085;&#1080;&#1095;&#1077;&#1089;&#1082;&#1072;&#1103;%20&#1082;&#1086;&#1084;&#1087;&#1100;&#1102;&#1090;&#1077;&#1088;&#1085;&#1072;&#1103;%20&#1090;&#1086;&#1084;&#1086;&#1075;&#1088;&#1072;&#1092;&#1080;&#1103;%20%20&#1057;&#1072;&#1081;&#1090;%20&#1087;&#1088;&#1072;&#1082;&#1090;&#1080;&#1095;&#1077;&#1089;&#1082;&#1086;&#1075;&#1086;%20&#1088;&#1077;&#1085;&#1090;&#1075;&#1077;&#1085;&#1086;&#1083;&#1086;&#1075;&#1072;.files\kt5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D:\ref\&#1055;&#1086;&#1083;&#1100;&#1079;&#1086;&#1074;&#1072;&#1090;&#1077;&#1083;&#1080;\&#1084;&#1077;&#1076;&#1080;&#1094;&#1080;&#1085;&#1072;\&#1050;&#1083;&#1080;&#1085;&#1080;&#1095;&#1077;&#1089;&#1082;&#1072;&#1103;%20&#1082;&#1086;&#1084;&#1087;&#1100;&#1102;&#1090;&#1077;&#1088;&#1085;&#1072;&#1103;%20&#1090;&#1086;&#1084;&#1086;&#1075;&#1088;&#1072;&#1092;&#1080;&#1103;%20%20&#1057;&#1072;&#1081;&#1090;%20&#1087;&#1088;&#1072;&#1082;&#1090;&#1080;&#1095;&#1077;&#1089;&#1082;&#1086;&#1075;&#1086;%20&#1088;&#1077;&#1085;&#1090;&#1075;&#1077;&#1085;&#1086;&#1083;&#1086;&#1075;&#1072;.files\kt4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D:\ref\&#1055;&#1086;&#1083;&#1100;&#1079;&#1086;&#1074;&#1072;&#1090;&#1077;&#1083;&#1080;\&#1084;&#1077;&#1076;&#1080;&#1094;&#1080;&#1085;&#1072;\&#1050;&#1083;&#1080;&#1085;&#1080;&#1095;&#1077;&#1089;&#1082;&#1072;&#1103;%20&#1082;&#1086;&#1084;&#1087;&#1100;&#1102;&#1090;&#1077;&#1088;&#1085;&#1072;&#1103;%20&#1090;&#1086;&#1084;&#1086;&#1075;&#1088;&#1072;&#1092;&#1080;&#1103;%20%20&#1057;&#1072;&#1081;&#1090;%20&#1087;&#1088;&#1072;&#1082;&#1090;&#1080;&#1095;&#1077;&#1089;&#1082;&#1086;&#1075;&#1086;%20&#1088;&#1077;&#1085;&#1090;&#1075;&#1077;&#1085;&#1086;&#1083;&#1086;&#1075;&#1072;.files\kt3.jpeg" TargetMode="External"/><Relationship Id="rId11" Type="http://schemas.openxmlformats.org/officeDocument/2006/relationships/theme" Target="theme/theme1.xml"/><Relationship Id="rId5" Type="http://schemas.openxmlformats.org/officeDocument/2006/relationships/image" Target="file:///D:\ref\&#1055;&#1086;&#1083;&#1100;&#1079;&#1086;&#1074;&#1072;&#1090;&#1077;&#1083;&#1080;\&#1084;&#1077;&#1076;&#1080;&#1094;&#1080;&#1085;&#1072;\&#1050;&#1083;&#1080;&#1085;&#1080;&#1095;&#1077;&#1089;&#1082;&#1072;&#1103;%20&#1082;&#1086;&#1084;&#1087;&#1100;&#1102;&#1090;&#1077;&#1088;&#1085;&#1072;&#1103;%20&#1090;&#1086;&#1084;&#1086;&#1075;&#1088;&#1072;&#1092;&#1080;&#1103;%20%20&#1057;&#1072;&#1081;&#1090;%20&#1087;&#1088;&#1072;&#1082;&#1090;&#1080;&#1095;&#1077;&#1089;&#1082;&#1086;&#1075;&#1086;%20&#1088;&#1077;&#1085;&#1090;&#1075;&#1077;&#1085;&#1086;&#1083;&#1086;&#1075;&#1072;.files\kt2.jpeg" TargetMode="External"/><Relationship Id="rId10" Type="http://schemas.openxmlformats.org/officeDocument/2006/relationships/fontTable" Target="fontTable.xml"/><Relationship Id="rId4" Type="http://schemas.openxmlformats.org/officeDocument/2006/relationships/image" Target="file:///D:\ref\&#1055;&#1086;&#1083;&#1100;&#1079;&#1086;&#1074;&#1072;&#1090;&#1077;&#1083;&#1080;\&#1084;&#1077;&#1076;&#1080;&#1094;&#1080;&#1085;&#1072;\&#1050;&#1083;&#1080;&#1085;&#1080;&#1095;&#1077;&#1089;&#1082;&#1072;&#1103;%20&#1082;&#1086;&#1084;&#1087;&#1100;&#1102;&#1090;&#1077;&#1088;&#1085;&#1072;&#1103;%20&#1090;&#1086;&#1084;&#1086;&#1075;&#1088;&#1072;&#1092;&#1080;&#1103;%20%20&#1057;&#1072;&#1081;&#1090;%20&#1087;&#1088;&#1072;&#1082;&#1090;&#1080;&#1095;&#1077;&#1089;&#1082;&#1086;&#1075;&#1086;%20&#1088;&#1077;&#1085;&#1090;&#1075;&#1077;&#1085;&#1086;&#1083;&#1086;&#1075;&#1072;.files\kt1.jpeg" TargetMode="External"/><Relationship Id="rId9" Type="http://schemas.openxmlformats.org/officeDocument/2006/relationships/hyperlink" Target="http://www.antibiot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2085</Words>
  <Characters>11885</Characters>
  <Application>Microsoft Office Word</Application>
  <DocSecurity>0</DocSecurity>
  <Lines>99</Lines>
  <Paragraphs>27</Paragraphs>
  <ScaleCrop>false</ScaleCrop>
  <Company>PERSONAL COMPUTERS</Company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Клиническая компьютерная томография : Сайт практического рентгенолога</dc:title>
  <dc:subject/>
  <dc:creator>USER</dc:creator>
  <cp:keywords/>
  <dc:description/>
  <cp:lastModifiedBy>Igor Trofimov</cp:lastModifiedBy>
  <cp:revision>2</cp:revision>
  <dcterms:created xsi:type="dcterms:W3CDTF">2024-07-26T22:48:00Z</dcterms:created>
  <dcterms:modified xsi:type="dcterms:W3CDTF">2024-07-26T22:48:00Z</dcterms:modified>
</cp:coreProperties>
</file>