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F" w:rsidRPr="00780A1B" w:rsidRDefault="00D840EF" w:rsidP="00D840E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Лавр благородный 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Laurus nobilis L.</w:t>
      </w:r>
    </w:p>
    <w:p w:rsidR="00D840EF" w:rsidRDefault="00333814" w:rsidP="00D840E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10360" cy="2159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Родовое название растения, возможно, произошло от кельтского “lauer” — зеленый и латинского nobilis — благородный, так как лавровым венком в древности венчали героев.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С древнейших времен ветви лавра символизировали отличия в искусстве и спорте. Лавровым венком награждали победителей в поэтических, музыкальных и спортивных состязаниях, в частности победителей Олимпийских игр. Вечнозеленый, он был эмблемой бессмертия.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Лавр благородный — вечнозеленый двудомный кустарник или дерево высотой до 18 м с буроватой или темно-серой гладкой корой и густой кроной, преимущественно пирамидальной формы. Листья очередные, короткочерешковые, цельнокрайние, кожистые, голые, простые, длиной 7—20 см, шириной 2—8 см, со своеобразным пряным запахом, продолговатые или ланцетные, к основанию суженные, на верхушке острые, лоснящиеся сверху, более светлые и матовые снизу.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Цветки однополые, сидящие на коротких, длиной 2—5 мм, пушистых цветоножках; околоцветник простой, чашечковидный, состоящий из 4 зеленовато-белых, обратнояйцевидных тупых листочков длиной 3—4 мм, шириной 1,5—2 мм.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Соцветия — зонтики (до 12 мм в диаметре) трех-, шестицветковые, расположенные в пазухах листьев по 2, реже одиночно, или по 3. Тычиночные цветки с 8—12 тычинками, пестичные — с одним пестиком.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Плод — односемянная кожистая овальная или яйцевидная костянка длиной 10— 15 мм, с крупной косточкой, в зрелом состоянии черно-синяя. Цветет с конца марта до конца мая. Плодоносит с конца сентября по ноябрь.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Родина — Средиземноморье. Растет на лесных, главным образом известняковых склонах нижнего горного пояса Северного Кавказа, в нижнем лесном поясе субтропиков Абхазии, Западной Грузии. Разводится в виде кустовой культуры в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Краснодарском крае, Крыму, Азербайджане. Как декоративное растение встречается в парках Черноморского побережья Кавказа и Крыма.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Используются листья, собираемые главным образом зимой, и плоды. Листья лавра содержат эфирное масло (2—3,5%), в состав которого входят цинеол (до 50%), пинен, фелландрен, терпинеол, гераниол, эвгенол, метилэвгенол, сесквитерпеновые соединения, уксусная, валериановая и капроновая кислоты и их эфиры. Плоды включают эфирное (около 0,8%) и жирное (до 25%) масла, содержащие триглицериды, главным образом лауриновую кислоту, мелиссовый спирт, углеводород и лаурин, фитостерины и смолы.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lastRenderedPageBreak/>
        <w:t>Плоды (“бобки”) используются для получения бобкового масла, применяемого в виде мази для лечения ревматизма, параличей, простудных заболеваний, чесотки, опухолей, для укрепления нервной системы.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Настой из сухих листьев на подсолнечном масле применяют наружно при артритах, миозитах, невралгиях.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Отвар из листьев используют при сахарном диабете. 10 листьев средней величины заливают 200 мл кипятка, кипятят 5 мин, охлаждают и процеживают. Пьют по 1/4 стакана перед едой.</w:t>
      </w:r>
    </w:p>
    <w:p w:rsidR="00D840EF" w:rsidRPr="00780A1B" w:rsidRDefault="00D840EF" w:rsidP="00D840EF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F"/>
    <w:rsid w:val="00002B5A"/>
    <w:rsid w:val="0010437E"/>
    <w:rsid w:val="00316F32"/>
    <w:rsid w:val="00333814"/>
    <w:rsid w:val="004B6871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D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84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84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Home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Лавр благородный</dc:title>
  <dc:creator>User</dc:creator>
  <cp:lastModifiedBy>Igor</cp:lastModifiedBy>
  <cp:revision>2</cp:revision>
  <dcterms:created xsi:type="dcterms:W3CDTF">2024-10-03T07:17:00Z</dcterms:created>
  <dcterms:modified xsi:type="dcterms:W3CDTF">2024-10-03T07:17:00Z</dcterms:modified>
</cp:coreProperties>
</file>