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976E" w14:textId="77777777" w:rsidR="001D70E8" w:rsidRPr="001D70E8" w:rsidRDefault="001D70E8" w:rsidP="0018270E">
      <w:pPr>
        <w:ind w:firstLine="709"/>
        <w:jc w:val="both"/>
      </w:pPr>
      <w:r w:rsidRPr="001D70E8">
        <w:rPr>
          <w:b/>
          <w:bCs/>
          <w:sz w:val="27"/>
          <w:szCs w:val="27"/>
        </w:rPr>
        <w:t xml:space="preserve">Лечение глаукомы с помощью хирургического вмешательства </w:t>
      </w:r>
    </w:p>
    <w:p w14:paraId="60AF4794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Несмотря на успехи в медикаментозном лечении глаукомы, связанные с появлением новых типов лекарственных препаратов, воздействующих на различные механизмы регуляции ВГД. Так же появились препараты действующие в том числе и на комбинированных, а также наличие эффективных лазерных вмешательств – “ножевая” хирургия зачастую остается методом выбора на глазах с рефрактерными глаукомами, </w:t>
      </w:r>
      <w:proofErr w:type="spellStart"/>
      <w:r w:rsidRPr="001D70E8">
        <w:rPr>
          <w:b/>
          <w:bCs/>
        </w:rPr>
        <w:t>х</w:t>
      </w:r>
      <w:proofErr w:type="spellEnd"/>
      <w:r w:rsidRPr="001D70E8">
        <w:rPr>
          <w:b/>
          <w:bCs/>
        </w:rPr>
        <w:t xml:space="preserve"> </w:t>
      </w:r>
      <w:proofErr w:type="spellStart"/>
      <w:r w:rsidRPr="001D70E8">
        <w:t>ирургическое</w:t>
      </w:r>
      <w:proofErr w:type="spellEnd"/>
      <w:r w:rsidRPr="001D70E8">
        <w:t xml:space="preserve"> лечение рефрактерных глауком представляет собой трудную и, безусловно, актуальную проблему практической офтальмологии. </w:t>
      </w:r>
    </w:p>
    <w:p w14:paraId="3F59D2E8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Несмотря на высокий уровень современных технологий и современных методик лечения компенсация ВГД при рефрактерных формах данной патологии бывает наименее успешной, особенно в отдаленные сроки после хирургического вмешательства. К этой категории глауком относят </w:t>
      </w:r>
      <w:proofErr w:type="spellStart"/>
      <w:r w:rsidRPr="001D70E8">
        <w:t>афакическую</w:t>
      </w:r>
      <w:proofErr w:type="spellEnd"/>
      <w:r w:rsidRPr="001D70E8">
        <w:t xml:space="preserve"> глаукому, глаукому </w:t>
      </w:r>
      <w:proofErr w:type="spellStart"/>
      <w:r w:rsidRPr="001D70E8">
        <w:t>псевдофакичных</w:t>
      </w:r>
      <w:proofErr w:type="spellEnd"/>
      <w:r w:rsidRPr="001D70E8">
        <w:t xml:space="preserve"> глаз, юношескую, </w:t>
      </w:r>
      <w:proofErr w:type="spellStart"/>
      <w:r w:rsidRPr="001D70E8">
        <w:t>неоваскулярную</w:t>
      </w:r>
      <w:proofErr w:type="spellEnd"/>
      <w:r w:rsidRPr="001D70E8">
        <w:t xml:space="preserve">, и первичную глаукому, требующую повторных хирургических вмешательств. Выделяют в отдельную форму комбинированную глаукому, обусловленную выраженными изменениями дренажного аппарата в результате предшествующих хирургических вмешательств в зоне угла передней камеры (УПК). </w:t>
      </w:r>
    </w:p>
    <w:p w14:paraId="73FCD576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Для этих категорий глауком характерной особенностью упорное течение вследствие быстрого фиброзного перерождения вновь созданных путей оттока жидкости из глаза, а эффективность каждой последующей операции уменьшается по сравнению с предыдущей. </w:t>
      </w:r>
    </w:p>
    <w:p w14:paraId="4595FF23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В 1993 году предложена и разработана новая </w:t>
      </w:r>
      <w:proofErr w:type="spellStart"/>
      <w:r w:rsidRPr="001D70E8">
        <w:t>антиглаукоматозная</w:t>
      </w:r>
      <w:proofErr w:type="spellEnd"/>
      <w:r w:rsidRPr="001D70E8">
        <w:t xml:space="preserve"> операция для лечения рефрактерных типов глауком – </w:t>
      </w:r>
      <w:proofErr w:type="spellStart"/>
      <w:r w:rsidRPr="001D70E8">
        <w:t>лимбосклерэктомия</w:t>
      </w:r>
      <w:proofErr w:type="spellEnd"/>
      <w:r w:rsidRPr="001D70E8">
        <w:t xml:space="preserve"> с клапанным дренированием </w:t>
      </w:r>
      <w:proofErr w:type="spellStart"/>
      <w:r w:rsidRPr="001D70E8">
        <w:t>супрацилиарного</w:t>
      </w:r>
      <w:proofErr w:type="spellEnd"/>
      <w:r w:rsidRPr="001D70E8">
        <w:t xml:space="preserve"> пространства. </w:t>
      </w:r>
    </w:p>
    <w:p w14:paraId="2669B184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Для разработки данного метода был проведен эксперимент, в котором наблюдались 80 больных с симптомами глаукомы. Возраст варьировался от 25 до 79 лет </w:t>
      </w:r>
    </w:p>
    <w:p w14:paraId="3FCBD996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Для удобства проведения эксперимента пациенты были разделены на 3 группы: </w:t>
      </w:r>
    </w:p>
    <w:p w14:paraId="0A673805" w14:textId="77777777" w:rsidR="001D70E8" w:rsidRPr="001D70E8" w:rsidRDefault="001D70E8" w:rsidP="0018270E">
      <w:pPr>
        <w:numPr>
          <w:ilvl w:val="0"/>
          <w:numId w:val="1"/>
        </w:numPr>
        <w:ind w:left="0" w:firstLine="709"/>
        <w:jc w:val="both"/>
      </w:pPr>
      <w:r w:rsidRPr="001D70E8">
        <w:t xml:space="preserve">1–я группа – больные с глаукомой на </w:t>
      </w:r>
      <w:proofErr w:type="spellStart"/>
      <w:r w:rsidRPr="001D70E8">
        <w:t>афакичных</w:t>
      </w:r>
      <w:proofErr w:type="spellEnd"/>
      <w:r w:rsidRPr="001D70E8">
        <w:t xml:space="preserve"> глазах (26 глаз), </w:t>
      </w:r>
    </w:p>
    <w:p w14:paraId="34DCDA34" w14:textId="77777777" w:rsidR="001D70E8" w:rsidRPr="001D70E8" w:rsidRDefault="001D70E8" w:rsidP="0018270E">
      <w:pPr>
        <w:numPr>
          <w:ilvl w:val="0"/>
          <w:numId w:val="1"/>
        </w:numPr>
        <w:ind w:left="0" w:firstLine="709"/>
        <w:jc w:val="both"/>
      </w:pPr>
      <w:r w:rsidRPr="001D70E8">
        <w:t xml:space="preserve">2–я группа – с глаукомой на </w:t>
      </w:r>
      <w:proofErr w:type="spellStart"/>
      <w:r w:rsidRPr="001D70E8">
        <w:t>псевдофакичных</w:t>
      </w:r>
      <w:proofErr w:type="spellEnd"/>
      <w:r w:rsidRPr="001D70E8">
        <w:t xml:space="preserve"> глазах (18 глаз), </w:t>
      </w:r>
    </w:p>
    <w:p w14:paraId="17ABD42F" w14:textId="77777777" w:rsidR="001D70E8" w:rsidRPr="001D70E8" w:rsidRDefault="001D70E8" w:rsidP="0018270E">
      <w:pPr>
        <w:numPr>
          <w:ilvl w:val="0"/>
          <w:numId w:val="1"/>
        </w:numPr>
        <w:ind w:left="0" w:firstLine="709"/>
        <w:jc w:val="both"/>
      </w:pPr>
      <w:r w:rsidRPr="001D70E8">
        <w:t>3–</w:t>
      </w:r>
      <w:proofErr w:type="spellStart"/>
      <w:r w:rsidRPr="001D70E8">
        <w:t>ю</w:t>
      </w:r>
      <w:proofErr w:type="spellEnd"/>
      <w:r w:rsidRPr="001D70E8">
        <w:t xml:space="preserve"> группу составили больные с ранее оперированной глаукомой (38 глаз). </w:t>
      </w:r>
    </w:p>
    <w:p w14:paraId="35F7DA0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rPr>
          <w:u w:val="single"/>
        </w:rPr>
        <w:t xml:space="preserve">Техника операции: </w:t>
      </w:r>
      <w:r w:rsidRPr="001D70E8">
        <w:t xml:space="preserve">конъюнктивальный лоскут выкраивается в верхних или верхнебоковых отделах глаза в </w:t>
      </w:r>
      <w:smartTag w:uri="urn:schemas-microsoft-com:office:smarttags" w:element="metricconverter">
        <w:smartTagPr>
          <w:attr w:name="ProductID" w:val="8 мм"/>
        </w:smartTagPr>
        <w:r w:rsidRPr="001D70E8">
          <w:t>8 мм</w:t>
        </w:r>
      </w:smartTag>
      <w:r w:rsidRPr="001D70E8">
        <w:t xml:space="preserve"> от лимба основанием к нему. В случаях выполнения операции в нижнебоковых отделах глаза конъюнктивальный лоскут выкраивается основанием к своду. Длина лоскута 7–9 мм. Гемостаз. Перпендикулярно лимбу на глубину 2/3 склеры выкраивается П–образный лоскут длиной 6–7 мм и шириной </w:t>
      </w:r>
      <w:smartTag w:uri="urn:schemas-microsoft-com:office:smarttags" w:element="metricconverter">
        <w:smartTagPr>
          <w:attr w:name="ProductID" w:val="2,5 мм"/>
        </w:smartTagPr>
        <w:r w:rsidRPr="001D70E8">
          <w:t>2,5 мм</w:t>
        </w:r>
      </w:smartTag>
      <w:r w:rsidRPr="001D70E8">
        <w:t xml:space="preserve"> основанием к лимбу (рис. 1А). Производится иссечение глубоких слоев склеры на дне склерального кармана размерами 2,5 </w:t>
      </w:r>
      <w:proofErr w:type="spellStart"/>
      <w:r w:rsidRPr="001D70E8">
        <w:t>х</w:t>
      </w:r>
      <w:proofErr w:type="spellEnd"/>
      <w:r w:rsidRPr="001D70E8">
        <w:t xml:space="preserve"> </w:t>
      </w:r>
      <w:smartTag w:uri="urn:schemas-microsoft-com:office:smarttags" w:element="metricconverter">
        <w:smartTagPr>
          <w:attr w:name="ProductID" w:val="2,0 мм"/>
        </w:smartTagPr>
        <w:r w:rsidRPr="001D70E8">
          <w:t>2,0 мм</w:t>
        </w:r>
      </w:smartTag>
      <w:r w:rsidRPr="001D70E8">
        <w:t xml:space="preserve"> в дистальном отделе с формированием </w:t>
      </w:r>
      <w:proofErr w:type="spellStart"/>
      <w:r w:rsidRPr="001D70E8">
        <w:t>склерэктомического</w:t>
      </w:r>
      <w:proofErr w:type="spellEnd"/>
      <w:r w:rsidRPr="001D70E8">
        <w:t xml:space="preserve"> отверстия (рис. 1В). В проксимальном отделе под основанием склерального лоскута выполняется </w:t>
      </w:r>
      <w:proofErr w:type="spellStart"/>
      <w:r w:rsidRPr="001D70E8">
        <w:t>лимбэктомия</w:t>
      </w:r>
      <w:proofErr w:type="spellEnd"/>
      <w:r w:rsidRPr="001D70E8">
        <w:t xml:space="preserve"> размерами 2,5 </w:t>
      </w:r>
      <w:proofErr w:type="spellStart"/>
      <w:r w:rsidRPr="001D70E8">
        <w:t>х</w:t>
      </w:r>
      <w:proofErr w:type="spellEnd"/>
      <w:r w:rsidRPr="001D70E8"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1D70E8">
          <w:t>1,5 мм</w:t>
        </w:r>
      </w:smartTag>
      <w:r w:rsidRPr="001D70E8">
        <w:t xml:space="preserve"> и иссекается кусочек радужки с пигментным листком (рис. 1В). Через </w:t>
      </w:r>
      <w:proofErr w:type="spellStart"/>
      <w:r w:rsidRPr="001D70E8">
        <w:t>склерэктомическое</w:t>
      </w:r>
      <w:proofErr w:type="spellEnd"/>
      <w:r w:rsidRPr="001D70E8">
        <w:t xml:space="preserve"> отверстие в дистальном отделе склерального ложа проводится </w:t>
      </w:r>
      <w:proofErr w:type="spellStart"/>
      <w:r w:rsidRPr="001D70E8">
        <w:t>окончатый</w:t>
      </w:r>
      <w:proofErr w:type="spellEnd"/>
      <w:r w:rsidRPr="001D70E8">
        <w:t xml:space="preserve"> шпатель в </w:t>
      </w:r>
      <w:proofErr w:type="spellStart"/>
      <w:r w:rsidRPr="001D70E8">
        <w:t>лимбэктомическое</w:t>
      </w:r>
      <w:proofErr w:type="spellEnd"/>
      <w:r w:rsidRPr="001D70E8">
        <w:t xml:space="preserve"> отверстие (рис. 1С), формируя </w:t>
      </w:r>
      <w:proofErr w:type="spellStart"/>
      <w:r w:rsidRPr="001D70E8">
        <w:t>циклодиализную</w:t>
      </w:r>
      <w:proofErr w:type="spellEnd"/>
      <w:r w:rsidRPr="001D70E8">
        <w:t xml:space="preserve"> щель, в которую заводится </w:t>
      </w:r>
      <w:proofErr w:type="spellStart"/>
      <w:r w:rsidRPr="001D70E8">
        <w:t>отсепарованный</w:t>
      </w:r>
      <w:proofErr w:type="spellEnd"/>
      <w:r w:rsidRPr="001D70E8">
        <w:t xml:space="preserve"> склеральный лоскут. Его основание прикрывает собой </w:t>
      </w:r>
      <w:proofErr w:type="spellStart"/>
      <w:r w:rsidRPr="001D70E8">
        <w:t>лимбэктомическое</w:t>
      </w:r>
      <w:proofErr w:type="spellEnd"/>
      <w:r w:rsidRPr="001D70E8">
        <w:t xml:space="preserve"> отверстие, предотвращая </w:t>
      </w:r>
      <w:proofErr w:type="spellStart"/>
      <w:r w:rsidRPr="001D70E8">
        <w:t>гиперфильтрацию</w:t>
      </w:r>
      <w:proofErr w:type="spellEnd"/>
      <w:r w:rsidRPr="001D70E8">
        <w:t xml:space="preserve"> влаги. Глубокие слои склерального ложа, примыкающие к </w:t>
      </w:r>
      <w:proofErr w:type="spellStart"/>
      <w:r w:rsidRPr="001D70E8">
        <w:t>лимбэктомическому</w:t>
      </w:r>
      <w:proofErr w:type="spellEnd"/>
      <w:r w:rsidRPr="001D70E8">
        <w:t xml:space="preserve"> отверстию, рассекаются на 1,5–2,0 мм перпендикулярно лимбу или иссекаются в виде остроугольного треугольного лоскута 1,0х1,0х0,5 мм. Данный послабляющий разрез позволяет основанию склерального лоскута, заправленного в </w:t>
      </w:r>
      <w:proofErr w:type="spellStart"/>
      <w:r w:rsidRPr="001D70E8">
        <w:t>супрацилиарное</w:t>
      </w:r>
      <w:proofErr w:type="spellEnd"/>
      <w:r w:rsidRPr="001D70E8">
        <w:t xml:space="preserve"> пространство, выполнять роль клапана, регулирующего уровень фильтрации при повышении внутриглазного давления (ВГД) (рис. 1D). По обе стороны склерального ложа дополнительно проводится трапециевидная резекция </w:t>
      </w:r>
      <w:proofErr w:type="spellStart"/>
      <w:r w:rsidRPr="001D70E8">
        <w:t>эписклеры</w:t>
      </w:r>
      <w:proofErr w:type="spellEnd"/>
      <w:r w:rsidRPr="001D70E8">
        <w:t xml:space="preserve"> размерами 6,0х4,0х3,0 мм. Она показана лицам молодого возраста и в случаях повторных </w:t>
      </w:r>
      <w:proofErr w:type="spellStart"/>
      <w:r w:rsidRPr="001D70E8">
        <w:t>антиглаукоматозных</w:t>
      </w:r>
      <w:proofErr w:type="spellEnd"/>
      <w:r w:rsidRPr="001D70E8">
        <w:t xml:space="preserve"> операций для профилактики </w:t>
      </w:r>
      <w:proofErr w:type="spellStart"/>
      <w:r w:rsidRPr="001D70E8">
        <w:t>эписклерального</w:t>
      </w:r>
      <w:proofErr w:type="spellEnd"/>
      <w:r w:rsidRPr="001D70E8">
        <w:t xml:space="preserve"> рубцевания. </w:t>
      </w:r>
      <w:proofErr w:type="spellStart"/>
      <w:r w:rsidRPr="001D70E8">
        <w:t>Иридэктомия</w:t>
      </w:r>
      <w:proofErr w:type="spellEnd"/>
      <w:r w:rsidRPr="001D70E8">
        <w:t xml:space="preserve"> не является обязательным элементом при проведении данной операции на глазах с афакией, </w:t>
      </w:r>
      <w:proofErr w:type="spellStart"/>
      <w:r w:rsidRPr="001D70E8">
        <w:t>псевдофакией</w:t>
      </w:r>
      <w:proofErr w:type="spellEnd"/>
      <w:r w:rsidRPr="001D70E8">
        <w:t xml:space="preserve"> и при повторных вмешательствах с уже имеющимися </w:t>
      </w:r>
      <w:proofErr w:type="spellStart"/>
      <w:r w:rsidRPr="001D70E8">
        <w:t>иридэктомиями</w:t>
      </w:r>
      <w:proofErr w:type="spellEnd"/>
      <w:r w:rsidRPr="001D70E8">
        <w:t xml:space="preserve">. Накладывается непрерывный шов на </w:t>
      </w:r>
      <w:proofErr w:type="spellStart"/>
      <w:r w:rsidRPr="001D70E8">
        <w:t>тенонову</w:t>
      </w:r>
      <w:proofErr w:type="spellEnd"/>
      <w:r w:rsidRPr="001D70E8">
        <w:t xml:space="preserve"> капсулу и </w:t>
      </w:r>
      <w:proofErr w:type="spellStart"/>
      <w:r w:rsidRPr="001D70E8">
        <w:t>коньюктиву</w:t>
      </w:r>
      <w:proofErr w:type="spellEnd"/>
      <w:r w:rsidRPr="001D70E8">
        <w:t xml:space="preserve">. </w:t>
      </w:r>
    </w:p>
    <w:p w14:paraId="0073246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lastRenderedPageBreak/>
        <w:t xml:space="preserve">Результаты и обсуждение: средний уровень ВГД до операции: </w:t>
      </w:r>
    </w:p>
    <w:p w14:paraId="5C48DE5B" w14:textId="77777777" w:rsidR="001D70E8" w:rsidRPr="001D70E8" w:rsidRDefault="001D70E8" w:rsidP="0018270E">
      <w:pPr>
        <w:numPr>
          <w:ilvl w:val="0"/>
          <w:numId w:val="2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составил 25,85±</w:t>
      </w:r>
      <w:smartTag w:uri="urn:schemas-microsoft-com:office:smarttags" w:element="metricconverter">
        <w:smartTagPr>
          <w:attr w:name="ProductID" w:val="0,74 мм"/>
        </w:smartTagPr>
        <w:r w:rsidRPr="001D70E8">
          <w:t>0,74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72873FD1" w14:textId="77777777" w:rsidR="001D70E8" w:rsidRPr="001D70E8" w:rsidRDefault="001D70E8" w:rsidP="0018270E">
      <w:pPr>
        <w:numPr>
          <w:ilvl w:val="0"/>
          <w:numId w:val="2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– 26,37±</w:t>
      </w:r>
      <w:smartTag w:uri="urn:schemas-microsoft-com:office:smarttags" w:element="metricconverter">
        <w:smartTagPr>
          <w:attr w:name="ProductID" w:val="1,18 мм"/>
        </w:smartTagPr>
        <w:r w:rsidRPr="001D70E8">
          <w:t>1,18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49A83CC5" w14:textId="77777777" w:rsidR="001D70E8" w:rsidRPr="001D70E8" w:rsidRDefault="001D70E8" w:rsidP="0018270E">
      <w:pPr>
        <w:numPr>
          <w:ilvl w:val="0"/>
          <w:numId w:val="2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– 27,45±</w:t>
      </w:r>
      <w:smartTag w:uri="urn:schemas-microsoft-com:office:smarttags" w:element="metricconverter">
        <w:smartTagPr>
          <w:attr w:name="ProductID" w:val="0,69 мм"/>
        </w:smartTagPr>
        <w:r w:rsidRPr="001D70E8">
          <w:t>0,69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 </w:t>
      </w:r>
    </w:p>
    <w:p w14:paraId="5630378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Превышение </w:t>
      </w:r>
      <w:proofErr w:type="spellStart"/>
      <w:r w:rsidRPr="001D70E8">
        <w:t>офтальмотонуса</w:t>
      </w:r>
      <w:proofErr w:type="spellEnd"/>
      <w:r w:rsidRPr="001D70E8">
        <w:t xml:space="preserve"> в течение первой недели после операции составило: </w:t>
      </w:r>
    </w:p>
    <w:p w14:paraId="12CFB181" w14:textId="77777777" w:rsidR="001D70E8" w:rsidRPr="001D70E8" w:rsidRDefault="001D70E8" w:rsidP="0018270E">
      <w:pPr>
        <w:numPr>
          <w:ilvl w:val="0"/>
          <w:numId w:val="3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4,19±</w:t>
      </w:r>
      <w:smartTag w:uri="urn:schemas-microsoft-com:office:smarttags" w:element="metricconverter">
        <w:smartTagPr>
          <w:attr w:name="ProductID" w:val="0,22 мм"/>
        </w:smartTagPr>
        <w:r w:rsidRPr="001D70E8">
          <w:t>0,22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44D96BD1" w14:textId="77777777" w:rsidR="001D70E8" w:rsidRPr="001D70E8" w:rsidRDefault="001D70E8" w:rsidP="0018270E">
      <w:pPr>
        <w:numPr>
          <w:ilvl w:val="0"/>
          <w:numId w:val="3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– 5,72±</w:t>
      </w:r>
      <w:smartTag w:uri="urn:schemas-microsoft-com:office:smarttags" w:element="metricconverter">
        <w:smartTagPr>
          <w:attr w:name="ProductID" w:val="0,56 мм"/>
        </w:smartTagPr>
        <w:r w:rsidRPr="001D70E8">
          <w:t>0,56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640A157A" w14:textId="77777777" w:rsidR="001D70E8" w:rsidRPr="001D70E8" w:rsidRDefault="001D70E8" w:rsidP="0018270E">
      <w:pPr>
        <w:numPr>
          <w:ilvl w:val="0"/>
          <w:numId w:val="3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– 5,21±</w:t>
      </w:r>
      <w:smartTag w:uri="urn:schemas-microsoft-com:office:smarttags" w:element="metricconverter">
        <w:smartTagPr>
          <w:attr w:name="ProductID" w:val="0,24 мм"/>
        </w:smartTagPr>
        <w:r w:rsidRPr="001D70E8">
          <w:t>0,24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 </w:t>
      </w:r>
    </w:p>
    <w:p w14:paraId="71E6E06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так же следует отметить, что фильтрационные подушечки были умеренно выраженными, без признаков </w:t>
      </w:r>
      <w:proofErr w:type="spellStart"/>
      <w:r w:rsidRPr="001D70E8">
        <w:t>гиперфильтрации</w:t>
      </w:r>
      <w:proofErr w:type="spellEnd"/>
      <w:r w:rsidRPr="001D70E8">
        <w:t xml:space="preserve">. </w:t>
      </w:r>
    </w:p>
    <w:p w14:paraId="413ADB2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Клинически значимая отслойка сосудистой оболочки, потребовавшая проведения задней </w:t>
      </w:r>
      <w:proofErr w:type="spellStart"/>
      <w:r w:rsidRPr="001D70E8">
        <w:t>склерэктомии</w:t>
      </w:r>
      <w:proofErr w:type="spellEnd"/>
      <w:r w:rsidRPr="001D70E8">
        <w:t xml:space="preserve"> в течение первых трех дней после операции отмечалась лишь на 3 глазах из 82. </w:t>
      </w:r>
    </w:p>
    <w:p w14:paraId="09F55E6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Через 30 дней после операции ВГД имело некоторую тенденцию к повышению и составляло: </w:t>
      </w:r>
    </w:p>
    <w:p w14:paraId="2534427B" w14:textId="77777777" w:rsidR="001D70E8" w:rsidRPr="001D70E8" w:rsidRDefault="001D70E8" w:rsidP="0018270E">
      <w:pPr>
        <w:numPr>
          <w:ilvl w:val="0"/>
          <w:numId w:val="4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– 9,19±</w:t>
      </w:r>
      <w:smartTag w:uri="urn:schemas-microsoft-com:office:smarttags" w:element="metricconverter">
        <w:smartTagPr>
          <w:attr w:name="ProductID" w:val="0,43 мм"/>
        </w:smartTagPr>
        <w:r w:rsidRPr="001D70E8">
          <w:t>0,43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60E73C14" w14:textId="77777777" w:rsidR="001D70E8" w:rsidRPr="001D70E8" w:rsidRDefault="001D70E8" w:rsidP="0018270E">
      <w:pPr>
        <w:numPr>
          <w:ilvl w:val="0"/>
          <w:numId w:val="4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– 8,94±</w:t>
      </w:r>
      <w:smartTag w:uri="urn:schemas-microsoft-com:office:smarttags" w:element="metricconverter">
        <w:smartTagPr>
          <w:attr w:name="ProductID" w:val="0,63 мм"/>
        </w:smartTagPr>
        <w:r w:rsidRPr="001D70E8">
          <w:t>0,63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21F8AB7A" w14:textId="77777777" w:rsidR="001D70E8" w:rsidRPr="001D70E8" w:rsidRDefault="001D70E8" w:rsidP="0018270E">
      <w:pPr>
        <w:numPr>
          <w:ilvl w:val="0"/>
          <w:numId w:val="4"/>
        </w:numPr>
        <w:ind w:left="0" w:firstLine="709"/>
        <w:jc w:val="both"/>
      </w:pPr>
      <w:r w:rsidRPr="001D70E8">
        <w:t>в 3 группе – 9,83±</w:t>
      </w:r>
      <w:smartTag w:uri="urn:schemas-microsoft-com:office:smarttags" w:element="metricconverter">
        <w:smartTagPr>
          <w:attr w:name="ProductID" w:val="0,49 мм"/>
        </w:smartTagPr>
        <w:r w:rsidRPr="001D70E8">
          <w:t>0,49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 </w:t>
      </w:r>
    </w:p>
    <w:p w14:paraId="5BD7237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Спустя 6 месяцев среднее ВГД: </w:t>
      </w:r>
    </w:p>
    <w:p w14:paraId="677946C7" w14:textId="77777777" w:rsidR="001D70E8" w:rsidRPr="001D70E8" w:rsidRDefault="001D70E8" w:rsidP="0018270E">
      <w:pPr>
        <w:numPr>
          <w:ilvl w:val="0"/>
          <w:numId w:val="5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равнялось 11,69±</w:t>
      </w:r>
      <w:smartTag w:uri="urn:schemas-microsoft-com:office:smarttags" w:element="metricconverter">
        <w:smartTagPr>
          <w:attr w:name="ProductID" w:val="0,48 мм"/>
        </w:smartTagPr>
        <w:r w:rsidRPr="001D70E8">
          <w:t>0,48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329D2E5D" w14:textId="77777777" w:rsidR="001D70E8" w:rsidRPr="001D70E8" w:rsidRDefault="001D70E8" w:rsidP="0018270E">
      <w:pPr>
        <w:numPr>
          <w:ilvl w:val="0"/>
          <w:numId w:val="5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– 11,78±</w:t>
      </w:r>
      <w:smartTag w:uri="urn:schemas-microsoft-com:office:smarttags" w:element="metricconverter">
        <w:smartTagPr>
          <w:attr w:name="ProductID" w:val="0,56 мм"/>
        </w:smartTagPr>
        <w:r w:rsidRPr="001D70E8">
          <w:t>0,56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5308791B" w14:textId="77777777" w:rsidR="001D70E8" w:rsidRPr="001D70E8" w:rsidRDefault="001D70E8" w:rsidP="0018270E">
      <w:pPr>
        <w:numPr>
          <w:ilvl w:val="0"/>
          <w:numId w:val="5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– 10,84±</w:t>
      </w:r>
      <w:smartTag w:uri="urn:schemas-microsoft-com:office:smarttags" w:element="metricconverter">
        <w:smartTagPr>
          <w:attr w:name="ProductID" w:val="0,47 мм"/>
        </w:smartTagPr>
        <w:r w:rsidRPr="001D70E8">
          <w:t>0,47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 </w:t>
      </w:r>
    </w:p>
    <w:p w14:paraId="071ADA0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В результате проведенного лечения через 2 года никому из больных, находившихся под наблюдением, не потребовалось повторного оперативного вмешательства. </w:t>
      </w:r>
      <w:proofErr w:type="spellStart"/>
      <w:r w:rsidRPr="001D70E8">
        <w:t>Офтальмотонус</w:t>
      </w:r>
      <w:proofErr w:type="spellEnd"/>
      <w:r w:rsidRPr="001D70E8">
        <w:t xml:space="preserve">: </w:t>
      </w:r>
    </w:p>
    <w:p w14:paraId="2C2BE503" w14:textId="77777777" w:rsidR="001D70E8" w:rsidRPr="001D70E8" w:rsidRDefault="001D70E8" w:rsidP="0018270E">
      <w:pPr>
        <w:numPr>
          <w:ilvl w:val="0"/>
          <w:numId w:val="6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составил 14,3±</w:t>
      </w:r>
      <w:smartTag w:uri="urn:schemas-microsoft-com:office:smarttags" w:element="metricconverter">
        <w:smartTagPr>
          <w:attr w:name="ProductID" w:val="0,4 мм"/>
        </w:smartTagPr>
        <w:r w:rsidRPr="001D70E8">
          <w:t>0,4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2AFD7816" w14:textId="77777777" w:rsidR="001D70E8" w:rsidRPr="001D70E8" w:rsidRDefault="001D70E8" w:rsidP="0018270E">
      <w:pPr>
        <w:numPr>
          <w:ilvl w:val="0"/>
          <w:numId w:val="6"/>
        </w:numPr>
        <w:ind w:left="0" w:firstLine="709"/>
        <w:jc w:val="both"/>
      </w:pPr>
      <w:r w:rsidRPr="001D70E8">
        <w:t>во второй группе– 14,75±</w:t>
      </w:r>
      <w:smartTag w:uri="urn:schemas-microsoft-com:office:smarttags" w:element="metricconverter">
        <w:smartTagPr>
          <w:attr w:name="ProductID" w:val="0,54 мм"/>
        </w:smartTagPr>
        <w:r w:rsidRPr="001D70E8">
          <w:t>0,54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58F4AF38" w14:textId="77777777" w:rsidR="001D70E8" w:rsidRPr="001D70E8" w:rsidRDefault="001D70E8" w:rsidP="0018270E">
      <w:pPr>
        <w:numPr>
          <w:ilvl w:val="0"/>
          <w:numId w:val="6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группе– 14,53±</w:t>
      </w:r>
      <w:smartTag w:uri="urn:schemas-microsoft-com:office:smarttags" w:element="metricconverter">
        <w:smartTagPr>
          <w:attr w:name="ProductID" w:val="0,38 мм"/>
        </w:smartTagPr>
        <w:r w:rsidRPr="001D70E8">
          <w:t>0,38 мм</w:t>
        </w:r>
      </w:smartTag>
      <w:r w:rsidRPr="001D70E8">
        <w:t xml:space="preserve"> </w:t>
      </w:r>
      <w:proofErr w:type="spellStart"/>
      <w:r w:rsidRPr="001D70E8">
        <w:t>рт</w:t>
      </w:r>
      <w:proofErr w:type="spellEnd"/>
      <w:r w:rsidRPr="001D70E8">
        <w:t>. ст. (</w:t>
      </w:r>
      <w:proofErr w:type="spellStart"/>
      <w:r w:rsidRPr="001D70E8">
        <w:t>р</w:t>
      </w:r>
      <w:proofErr w:type="spellEnd"/>
      <w:r w:rsidRPr="001D70E8">
        <w:t xml:space="preserve">&lt; 0,01). </w:t>
      </w:r>
    </w:p>
    <w:p w14:paraId="3DF2DF45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Шести пациентам (4,9%) для полной компенсации </w:t>
      </w:r>
      <w:proofErr w:type="spellStart"/>
      <w:r w:rsidRPr="001D70E8">
        <w:t>офтальмотонуса</w:t>
      </w:r>
      <w:proofErr w:type="spellEnd"/>
      <w:r w:rsidRPr="001D70E8">
        <w:t xml:space="preserve"> потребовались ежедневные двух кратные инстилляции 0,5% раствора </w:t>
      </w:r>
      <w:proofErr w:type="spellStart"/>
      <w:r w:rsidRPr="001D70E8">
        <w:t>тимолола</w:t>
      </w:r>
      <w:proofErr w:type="spellEnd"/>
      <w:r w:rsidRPr="001D70E8">
        <w:t xml:space="preserve"> </w:t>
      </w:r>
      <w:proofErr w:type="spellStart"/>
      <w:r w:rsidRPr="001D70E8">
        <w:t>малеата</w:t>
      </w:r>
      <w:proofErr w:type="spellEnd"/>
      <w:r w:rsidRPr="001D70E8">
        <w:t xml:space="preserve">. Фильтрационная подушечка с незначительными элементами кистозного перерождения сформировалась на 4 глазах (3,3%), в остальных 78 глазах (96,7%) подушечка носила плоский разлитой характер, была </w:t>
      </w:r>
      <w:proofErr w:type="spellStart"/>
      <w:r w:rsidRPr="001D70E8">
        <w:t>ишемичной</w:t>
      </w:r>
      <w:proofErr w:type="spellEnd"/>
      <w:r w:rsidRPr="001D70E8">
        <w:t xml:space="preserve"> и не доставляла субъективного дискомфорта больным. </w:t>
      </w:r>
    </w:p>
    <w:p w14:paraId="296C316F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У всех пациентов до операции был измерен коэффициент легкости оттока: </w:t>
      </w:r>
    </w:p>
    <w:p w14:paraId="36B14139" w14:textId="77777777" w:rsidR="001D70E8" w:rsidRPr="001D70E8" w:rsidRDefault="001D70E8" w:rsidP="0018270E">
      <w:pPr>
        <w:numPr>
          <w:ilvl w:val="0"/>
          <w:numId w:val="7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составил 0,08±</w:t>
      </w:r>
      <w:smartTag w:uri="urn:schemas-microsoft-com:office:smarttags" w:element="metricconverter">
        <w:smartTagPr>
          <w:attr w:name="ProductID" w:val="0,01 мм"/>
        </w:smartTagPr>
        <w:r w:rsidRPr="001D70E8">
          <w:t>0,01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491FEFA3" w14:textId="77777777" w:rsidR="001D70E8" w:rsidRPr="001D70E8" w:rsidRDefault="001D70E8" w:rsidP="0018270E">
      <w:pPr>
        <w:numPr>
          <w:ilvl w:val="0"/>
          <w:numId w:val="7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этот показатель до операции равнялся 0,09±</w:t>
      </w:r>
      <w:smartTag w:uri="urn:schemas-microsoft-com:office:smarttags" w:element="metricconverter">
        <w:smartTagPr>
          <w:attr w:name="ProductID" w:val="0,04 мм"/>
        </w:smartTagPr>
        <w:r w:rsidRPr="001D70E8">
          <w:t>0,04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69392870" w14:textId="77777777" w:rsidR="001D70E8" w:rsidRPr="001D70E8" w:rsidRDefault="001D70E8" w:rsidP="0018270E">
      <w:pPr>
        <w:numPr>
          <w:ilvl w:val="0"/>
          <w:numId w:val="7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коэффициент легкости оттока составил до оперативного лечения 0,1±</w:t>
      </w:r>
      <w:smartTag w:uri="urn:schemas-microsoft-com:office:smarttags" w:element="metricconverter">
        <w:smartTagPr>
          <w:attr w:name="ProductID" w:val="0,008 мм"/>
        </w:smartTagPr>
        <w:r w:rsidRPr="001D70E8">
          <w:t>0,008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 xml:space="preserve">. ст. </w:t>
      </w:r>
    </w:p>
    <w:p w14:paraId="50D143E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Этот же коэффициент через 6 месяцев и через год составил: </w:t>
      </w:r>
    </w:p>
    <w:p w14:paraId="0727C2E1" w14:textId="77777777" w:rsidR="001D70E8" w:rsidRPr="001D70E8" w:rsidRDefault="001D70E8" w:rsidP="0018270E">
      <w:pPr>
        <w:numPr>
          <w:ilvl w:val="0"/>
          <w:numId w:val="8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через 6 месяцев – 0,28±</w:t>
      </w:r>
      <w:smartTag w:uri="urn:schemas-microsoft-com:office:smarttags" w:element="metricconverter">
        <w:smartTagPr>
          <w:attr w:name="ProductID" w:val="0,02 мм"/>
        </w:smartTagPr>
        <w:r w:rsidRPr="001D70E8">
          <w:t>0,02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>. ст., через 1 год – 0,27±</w:t>
      </w:r>
      <w:smartTag w:uri="urn:schemas-microsoft-com:office:smarttags" w:element="metricconverter">
        <w:smartTagPr>
          <w:attr w:name="ProductID" w:val="0,08 мм"/>
        </w:smartTagPr>
        <w:r w:rsidRPr="001D70E8">
          <w:t>0,08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1B6BD4CF" w14:textId="77777777" w:rsidR="001D70E8" w:rsidRPr="001D70E8" w:rsidRDefault="001D70E8" w:rsidP="0018270E">
      <w:pPr>
        <w:numPr>
          <w:ilvl w:val="0"/>
          <w:numId w:val="8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этот через 6 месяцев и 1 год, соответственно, – 0,28±0,01 и 0,26±</w:t>
      </w:r>
      <w:smartTag w:uri="urn:schemas-microsoft-com:office:smarttags" w:element="metricconverter">
        <w:smartTagPr>
          <w:attr w:name="ProductID" w:val="0,05 мм"/>
        </w:smartTagPr>
        <w:r w:rsidRPr="001D70E8">
          <w:t>0,05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 xml:space="preserve">. ст., </w:t>
      </w:r>
    </w:p>
    <w:p w14:paraId="12CFBCFA" w14:textId="77777777" w:rsidR="001D70E8" w:rsidRPr="001D70E8" w:rsidRDefault="001D70E8" w:rsidP="0018270E">
      <w:pPr>
        <w:numPr>
          <w:ilvl w:val="0"/>
          <w:numId w:val="8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спустя 6 месяцев – 0,26±0,008 и 1 год – 0,24±</w:t>
      </w:r>
      <w:smartTag w:uri="urn:schemas-microsoft-com:office:smarttags" w:element="metricconverter">
        <w:smartTagPr>
          <w:attr w:name="ProductID" w:val="0,04 мм"/>
        </w:smartTagPr>
        <w:r w:rsidRPr="001D70E8">
          <w:t>0,04 мм</w:t>
        </w:r>
      </w:smartTag>
      <w:r w:rsidRPr="001D70E8">
        <w:t xml:space="preserve"> </w:t>
      </w:r>
      <w:r w:rsidRPr="001D70E8">
        <w:rPr>
          <w:vertAlign w:val="superscript"/>
        </w:rPr>
        <w:t xml:space="preserve">3 </w:t>
      </w:r>
      <w:r w:rsidRPr="001D70E8">
        <w:t xml:space="preserve">/мин </w:t>
      </w:r>
      <w:proofErr w:type="spellStart"/>
      <w:r w:rsidRPr="001D70E8">
        <w:t>х</w:t>
      </w:r>
      <w:proofErr w:type="spellEnd"/>
      <w:r w:rsidRPr="001D70E8">
        <w:t xml:space="preserve"> мм </w:t>
      </w:r>
      <w:proofErr w:type="spellStart"/>
      <w:r w:rsidRPr="001D70E8">
        <w:t>рт</w:t>
      </w:r>
      <w:proofErr w:type="spellEnd"/>
      <w:r w:rsidRPr="001D70E8">
        <w:t>. ст. (</w:t>
      </w:r>
      <w:proofErr w:type="spellStart"/>
      <w:r w:rsidRPr="001D70E8">
        <w:t>р</w:t>
      </w:r>
      <w:proofErr w:type="spellEnd"/>
      <w:r w:rsidRPr="001D70E8">
        <w:t xml:space="preserve">&lt; 0,01). </w:t>
      </w:r>
    </w:p>
    <w:p w14:paraId="46918A0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Следует заметить, что границы поля зрения после операции существенно не менялись: </w:t>
      </w:r>
    </w:p>
    <w:p w14:paraId="58681144" w14:textId="77777777" w:rsidR="001D70E8" w:rsidRPr="001D70E8" w:rsidRDefault="001D70E8" w:rsidP="0018270E">
      <w:pPr>
        <w:numPr>
          <w:ilvl w:val="0"/>
          <w:numId w:val="9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больных границы поля зрения до операции составили 246,8±26,0° ; </w:t>
      </w:r>
    </w:p>
    <w:p w14:paraId="2B6B53CB" w14:textId="77777777" w:rsidR="001D70E8" w:rsidRPr="001D70E8" w:rsidRDefault="001D70E8" w:rsidP="0018270E">
      <w:pPr>
        <w:numPr>
          <w:ilvl w:val="0"/>
          <w:numId w:val="9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– 237,9±41,0°, </w:t>
      </w:r>
    </w:p>
    <w:p w14:paraId="4F7A5069" w14:textId="77777777" w:rsidR="001D70E8" w:rsidRPr="001D70E8" w:rsidRDefault="001D70E8" w:rsidP="0018270E">
      <w:pPr>
        <w:numPr>
          <w:ilvl w:val="0"/>
          <w:numId w:val="9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– 243,2±23,6°. </w:t>
      </w:r>
    </w:p>
    <w:p w14:paraId="226BB8C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>Через 1 месяц в 1–</w:t>
      </w:r>
      <w:proofErr w:type="spellStart"/>
      <w:r w:rsidRPr="001D70E8">
        <w:t>й</w:t>
      </w:r>
      <w:proofErr w:type="spellEnd"/>
      <w:r w:rsidRPr="001D70E8">
        <w:t>, 2–</w:t>
      </w:r>
      <w:proofErr w:type="spellStart"/>
      <w:r w:rsidRPr="001D70E8">
        <w:t>й</w:t>
      </w:r>
      <w:proofErr w:type="spellEnd"/>
      <w:r w:rsidRPr="001D70E8">
        <w:t>, 3–</w:t>
      </w:r>
      <w:proofErr w:type="spellStart"/>
      <w:r w:rsidRPr="001D70E8">
        <w:t>й</w:t>
      </w:r>
      <w:proofErr w:type="spellEnd"/>
      <w:r w:rsidRPr="001D70E8">
        <w:t xml:space="preserve"> группах границы составили, соответственно, 266,9±26,5°; 247,5±39,2°; 245,5±22,5°. </w:t>
      </w:r>
    </w:p>
    <w:p w14:paraId="199D05C3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Спустя 6 месяцев после операции границы поля зрения: </w:t>
      </w:r>
    </w:p>
    <w:p w14:paraId="37F2BE4A" w14:textId="77777777" w:rsidR="001D70E8" w:rsidRPr="001D70E8" w:rsidRDefault="001D70E8" w:rsidP="0018270E">
      <w:pPr>
        <w:numPr>
          <w:ilvl w:val="0"/>
          <w:numId w:val="10"/>
        </w:numPr>
        <w:ind w:left="0" w:firstLine="709"/>
        <w:jc w:val="both"/>
      </w:pPr>
      <w:r w:rsidRPr="001D70E8">
        <w:t xml:space="preserve">в 1– </w:t>
      </w:r>
      <w:proofErr w:type="spellStart"/>
      <w:r w:rsidRPr="001D70E8">
        <w:t>й</w:t>
      </w:r>
      <w:proofErr w:type="spellEnd"/>
      <w:r w:rsidRPr="001D70E8">
        <w:t xml:space="preserve"> группе соответствовали 264,9±126,9°, </w:t>
      </w:r>
    </w:p>
    <w:p w14:paraId="767AFC6A" w14:textId="77777777" w:rsidR="001D70E8" w:rsidRPr="001D70E8" w:rsidRDefault="001D70E8" w:rsidP="0018270E">
      <w:pPr>
        <w:numPr>
          <w:ilvl w:val="0"/>
          <w:numId w:val="10"/>
        </w:numPr>
        <w:ind w:left="0" w:firstLine="709"/>
        <w:jc w:val="both"/>
      </w:pPr>
      <w:r w:rsidRPr="001D70E8">
        <w:lastRenderedPageBreak/>
        <w:t>во 2–</w:t>
      </w:r>
      <w:proofErr w:type="spellStart"/>
      <w:r w:rsidRPr="001D70E8">
        <w:t>й</w:t>
      </w:r>
      <w:proofErr w:type="spellEnd"/>
      <w:r w:rsidRPr="001D70E8">
        <w:t xml:space="preserve"> группе – 250,9±39,2° , </w:t>
      </w:r>
    </w:p>
    <w:p w14:paraId="67325F0C" w14:textId="77777777" w:rsidR="001D70E8" w:rsidRPr="001D70E8" w:rsidRDefault="001D70E8" w:rsidP="0018270E">
      <w:pPr>
        <w:numPr>
          <w:ilvl w:val="0"/>
          <w:numId w:val="10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– 248,0±28,9°. </w:t>
      </w:r>
    </w:p>
    <w:p w14:paraId="127548F9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Через 1 год этот показатель составил: </w:t>
      </w:r>
    </w:p>
    <w:p w14:paraId="387D245E" w14:textId="77777777" w:rsidR="001D70E8" w:rsidRPr="001D70E8" w:rsidRDefault="001D70E8" w:rsidP="0018270E">
      <w:pPr>
        <w:numPr>
          <w:ilvl w:val="0"/>
          <w:numId w:val="11"/>
        </w:numPr>
        <w:ind w:left="0" w:firstLine="709"/>
        <w:jc w:val="both"/>
      </w:pPr>
      <w:r w:rsidRPr="001D70E8">
        <w:t>в 1–</w:t>
      </w:r>
      <w:proofErr w:type="spellStart"/>
      <w:r w:rsidRPr="001D70E8">
        <w:t>й</w:t>
      </w:r>
      <w:proofErr w:type="spellEnd"/>
      <w:r w:rsidRPr="001D70E8">
        <w:t xml:space="preserve"> группе – 265,0±28,1°, </w:t>
      </w:r>
    </w:p>
    <w:p w14:paraId="33E8EE8F" w14:textId="77777777" w:rsidR="001D70E8" w:rsidRPr="001D70E8" w:rsidRDefault="001D70E8" w:rsidP="0018270E">
      <w:pPr>
        <w:numPr>
          <w:ilvl w:val="0"/>
          <w:numId w:val="11"/>
        </w:numPr>
        <w:ind w:left="0" w:firstLine="709"/>
        <w:jc w:val="both"/>
      </w:pPr>
      <w:r w:rsidRPr="001D70E8">
        <w:t>во 2–</w:t>
      </w:r>
      <w:proofErr w:type="spellStart"/>
      <w:r w:rsidRPr="001D70E8">
        <w:t>й</w:t>
      </w:r>
      <w:proofErr w:type="spellEnd"/>
      <w:r w:rsidRPr="001D70E8">
        <w:t xml:space="preserve"> группе не изменился, </w:t>
      </w:r>
    </w:p>
    <w:p w14:paraId="0A14B793" w14:textId="77777777" w:rsidR="001D70E8" w:rsidRPr="001D70E8" w:rsidRDefault="001D70E8" w:rsidP="0018270E">
      <w:pPr>
        <w:numPr>
          <w:ilvl w:val="0"/>
          <w:numId w:val="11"/>
        </w:numPr>
        <w:ind w:left="0" w:firstLine="709"/>
        <w:jc w:val="both"/>
      </w:pPr>
      <w:r w:rsidRPr="001D70E8">
        <w:t>в 3–</w:t>
      </w:r>
      <w:proofErr w:type="spellStart"/>
      <w:r w:rsidRPr="001D70E8">
        <w:t>й</w:t>
      </w:r>
      <w:proofErr w:type="spellEnd"/>
      <w:r w:rsidRPr="001D70E8">
        <w:t xml:space="preserve"> группе – 256,0±27,1° (</w:t>
      </w:r>
      <w:proofErr w:type="spellStart"/>
      <w:r w:rsidRPr="001D70E8">
        <w:t>р</w:t>
      </w:r>
      <w:proofErr w:type="spellEnd"/>
      <w:r w:rsidRPr="001D70E8">
        <w:t xml:space="preserve">&gt; 0,05). </w:t>
      </w:r>
    </w:p>
    <w:p w14:paraId="57D32ACA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В раннем послеоперационном периоде отмечались следующие осложнения: </w:t>
      </w:r>
      <w:proofErr w:type="spellStart"/>
      <w:r w:rsidRPr="001D70E8">
        <w:t>микрогифема</w:t>
      </w:r>
      <w:proofErr w:type="spellEnd"/>
      <w:r w:rsidRPr="001D70E8">
        <w:t xml:space="preserve"> – 3 глаза (2,5%); </w:t>
      </w:r>
      <w:proofErr w:type="spellStart"/>
      <w:r w:rsidRPr="001D70E8">
        <w:t>цилиохориоидальная</w:t>
      </w:r>
      <w:proofErr w:type="spellEnd"/>
      <w:r w:rsidRPr="001D70E8">
        <w:t xml:space="preserve"> отслойка – 4 глаза (3,3%), причем в 3 случаях пришлось прибегать к задней </w:t>
      </w:r>
      <w:proofErr w:type="spellStart"/>
      <w:r w:rsidRPr="001D70E8">
        <w:t>склерэктомии</w:t>
      </w:r>
      <w:proofErr w:type="spellEnd"/>
      <w:r w:rsidRPr="001D70E8">
        <w:t xml:space="preserve">; гипотония (ВГД не превышало 3–4 мм по Гольдману) – 4 глаза (3,3%). Все указанные осложнения были характерны для 3 группы и купировались к 3–5 дню после операции. </w:t>
      </w:r>
    </w:p>
    <w:p w14:paraId="5B1D5D8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В заключение можно сказать, что </w:t>
      </w:r>
      <w:proofErr w:type="spellStart"/>
      <w:r w:rsidRPr="001D70E8">
        <w:t>лимбосклерэктомия</w:t>
      </w:r>
      <w:proofErr w:type="spellEnd"/>
      <w:r w:rsidRPr="001D70E8">
        <w:t xml:space="preserve"> с клапанным дренированием </w:t>
      </w:r>
      <w:proofErr w:type="spellStart"/>
      <w:r w:rsidRPr="001D70E8">
        <w:t>супрацилиарного</w:t>
      </w:r>
      <w:proofErr w:type="spellEnd"/>
      <w:r w:rsidRPr="001D70E8">
        <w:t xml:space="preserve"> пространства применяется нами с 1993 года, и уже накоплен достаточный опыт ее использования не только в лечении рефракторных глауком, но и первичной </w:t>
      </w:r>
      <w:proofErr w:type="spellStart"/>
      <w:r w:rsidRPr="001D70E8">
        <w:t>открытоугольной</w:t>
      </w:r>
      <w:proofErr w:type="spellEnd"/>
      <w:r w:rsidRPr="001D70E8">
        <w:t xml:space="preserve">, </w:t>
      </w:r>
      <w:proofErr w:type="spellStart"/>
      <w:r w:rsidRPr="001D70E8">
        <w:t>закрытоугольной</w:t>
      </w:r>
      <w:proofErr w:type="spellEnd"/>
      <w:r w:rsidRPr="001D70E8">
        <w:t xml:space="preserve"> и смешанной формах, при </w:t>
      </w:r>
      <w:proofErr w:type="spellStart"/>
      <w:r w:rsidRPr="001D70E8">
        <w:t>некупируемом</w:t>
      </w:r>
      <w:proofErr w:type="spellEnd"/>
      <w:r w:rsidRPr="001D70E8">
        <w:t xml:space="preserve"> остром приступе глаукомы. </w:t>
      </w:r>
    </w:p>
    <w:p w14:paraId="109ABFB8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Вопросы эффективности ее применения при вторичных глаукомах в настоящее время изучаются, определяются показания и противопоказания. Однако уже сейчас можно отметить, что наибольшую склонность к рецидивам имеют </w:t>
      </w:r>
      <w:proofErr w:type="spellStart"/>
      <w:r w:rsidRPr="001D70E8">
        <w:t>увеальная</w:t>
      </w:r>
      <w:proofErr w:type="spellEnd"/>
      <w:r w:rsidRPr="001D70E8">
        <w:t xml:space="preserve"> и </w:t>
      </w:r>
      <w:proofErr w:type="spellStart"/>
      <w:r w:rsidRPr="001D70E8">
        <w:t>посттромботическая</w:t>
      </w:r>
      <w:proofErr w:type="spellEnd"/>
      <w:r w:rsidRPr="001D70E8">
        <w:t xml:space="preserve"> глаукомы, где целесообразно использование </w:t>
      </w:r>
      <w:proofErr w:type="spellStart"/>
      <w:r w:rsidRPr="001D70E8">
        <w:t>цитостатиков</w:t>
      </w:r>
      <w:proofErr w:type="spellEnd"/>
      <w:r w:rsidRPr="001D70E8">
        <w:t xml:space="preserve">, активно применяемых в нашей клинике в последние годы. </w:t>
      </w:r>
    </w:p>
    <w:p w14:paraId="1BB9B2FD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Итогом вышеописанного эксперимента стала разработка новой </w:t>
      </w:r>
      <w:proofErr w:type="spellStart"/>
      <w:r w:rsidRPr="001D70E8">
        <w:t>антиглаукоматозной</w:t>
      </w:r>
      <w:proofErr w:type="spellEnd"/>
      <w:r w:rsidRPr="001D70E8">
        <w:t xml:space="preserve"> операции – </w:t>
      </w:r>
      <w:proofErr w:type="spellStart"/>
      <w:r w:rsidRPr="001D70E8">
        <w:t>лимбосклерэктомия</w:t>
      </w:r>
      <w:proofErr w:type="spellEnd"/>
      <w:r w:rsidRPr="001D70E8">
        <w:t xml:space="preserve"> с клапанным дренированием </w:t>
      </w:r>
      <w:proofErr w:type="spellStart"/>
      <w:r w:rsidRPr="001D70E8">
        <w:t>супрацилиарного</w:t>
      </w:r>
      <w:proofErr w:type="spellEnd"/>
      <w:r w:rsidRPr="001D70E8">
        <w:t xml:space="preserve"> пространства, выполняемая исключительно в </w:t>
      </w:r>
      <w:proofErr w:type="spellStart"/>
      <w:r w:rsidRPr="001D70E8">
        <w:t>однолоскутном</w:t>
      </w:r>
      <w:proofErr w:type="spellEnd"/>
      <w:r w:rsidRPr="001D70E8">
        <w:t xml:space="preserve"> варианте. Эта операция имеет комбинированный механизм гипотензивного действия (</w:t>
      </w:r>
      <w:proofErr w:type="spellStart"/>
      <w:r w:rsidRPr="001D70E8">
        <w:t>лимбэктомия</w:t>
      </w:r>
      <w:proofErr w:type="spellEnd"/>
      <w:r w:rsidRPr="001D70E8">
        <w:t xml:space="preserve">, задняя </w:t>
      </w:r>
      <w:proofErr w:type="spellStart"/>
      <w:r w:rsidRPr="001D70E8">
        <w:t>склерэктомия</w:t>
      </w:r>
      <w:proofErr w:type="spellEnd"/>
      <w:r w:rsidRPr="001D70E8">
        <w:t xml:space="preserve">, </w:t>
      </w:r>
      <w:proofErr w:type="spellStart"/>
      <w:r w:rsidRPr="001D70E8">
        <w:t>циклодиализ</w:t>
      </w:r>
      <w:proofErr w:type="spellEnd"/>
      <w:r w:rsidRPr="001D70E8">
        <w:t xml:space="preserve">, клапанное дренирование </w:t>
      </w:r>
      <w:proofErr w:type="spellStart"/>
      <w:r w:rsidRPr="001D70E8">
        <w:t>аутосклеральной</w:t>
      </w:r>
      <w:proofErr w:type="spellEnd"/>
      <w:r w:rsidRPr="001D70E8">
        <w:t xml:space="preserve"> полоской, </w:t>
      </w:r>
      <w:proofErr w:type="spellStart"/>
      <w:r w:rsidRPr="001D70E8">
        <w:t>иридэктомия</w:t>
      </w:r>
      <w:proofErr w:type="spellEnd"/>
      <w:r w:rsidRPr="001D70E8">
        <w:t xml:space="preserve">), характеризуемая отсутствием швов на фиброзной капсуле глаза и незначительной площадью вмешательства. </w:t>
      </w:r>
    </w:p>
    <w:p w14:paraId="3E144FC7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Данный метод лечения обладает высокой гипотензивной эффективностью в отдаленные сроки наблюдения (&gt;2 лет) на глазах с рефрактерной глаукомой при различных профилях УПК, имеющих грубые органические изменения вследствие афакии, </w:t>
      </w:r>
      <w:proofErr w:type="spellStart"/>
      <w:r w:rsidRPr="001D70E8">
        <w:t>псевдофакии</w:t>
      </w:r>
      <w:proofErr w:type="spellEnd"/>
      <w:r w:rsidRPr="001D70E8">
        <w:t xml:space="preserve"> и предыдущих </w:t>
      </w:r>
      <w:proofErr w:type="spellStart"/>
      <w:r w:rsidRPr="001D70E8">
        <w:t>антиглаукоматозных</w:t>
      </w:r>
      <w:proofErr w:type="spellEnd"/>
      <w:r w:rsidRPr="001D70E8">
        <w:t xml:space="preserve"> операций является операцией выбора при повторных </w:t>
      </w:r>
      <w:proofErr w:type="spellStart"/>
      <w:r w:rsidRPr="001D70E8">
        <w:t>антиглаукоматозных</w:t>
      </w:r>
      <w:proofErr w:type="spellEnd"/>
      <w:r w:rsidRPr="001D70E8">
        <w:t xml:space="preserve"> вмешательствах. </w:t>
      </w:r>
    </w:p>
    <w:p w14:paraId="2C456427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D70E8">
        <w:rPr>
          <w:b/>
          <w:bCs/>
        </w:rPr>
        <w:t xml:space="preserve">  </w:t>
      </w:r>
    </w:p>
    <w:p w14:paraId="7D20045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D70E8">
        <w:rPr>
          <w:b/>
          <w:bCs/>
        </w:rPr>
        <w:t xml:space="preserve">Литература: </w:t>
      </w:r>
    </w:p>
    <w:p w14:paraId="50540F3E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>1. Алексеев В. Н., Мартынова Е. Б., Усачев В. В. //Всероссийский съезд офтальмологов, 7–</w:t>
      </w:r>
      <w:proofErr w:type="spellStart"/>
      <w:r w:rsidRPr="001D70E8">
        <w:t>й</w:t>
      </w:r>
      <w:proofErr w:type="spellEnd"/>
      <w:r w:rsidRPr="001D70E8">
        <w:t xml:space="preserve">: Тезисы докладов. – М., 2000. – Т. 1– С. 96– 97. </w:t>
      </w:r>
    </w:p>
    <w:p w14:paraId="43D9A4DA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2. Бессмертный А. МД Червяков А. Ю.. </w:t>
      </w:r>
      <w:proofErr w:type="spellStart"/>
      <w:r w:rsidRPr="001D70E8">
        <w:t>Лобыкина</w:t>
      </w:r>
      <w:proofErr w:type="spellEnd"/>
      <w:r w:rsidRPr="001D70E8">
        <w:t xml:space="preserve"> Л. Б.// </w:t>
      </w:r>
    </w:p>
    <w:p w14:paraId="0F96052E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>Всероссийский съезд офтальмологов, 7–</w:t>
      </w:r>
      <w:proofErr w:type="spellStart"/>
      <w:r w:rsidRPr="001D70E8">
        <w:t>й</w:t>
      </w:r>
      <w:proofErr w:type="spellEnd"/>
      <w:r w:rsidRPr="001D70E8">
        <w:t xml:space="preserve">: Тезисы докладов. – М., 2000.–Т.1–С. 105. </w:t>
      </w:r>
    </w:p>
    <w:p w14:paraId="09518237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3. Егоров Е. А. Гипотензивное лечение глаукомы. // Клин. </w:t>
      </w:r>
      <w:proofErr w:type="spellStart"/>
      <w:r w:rsidRPr="001D70E8">
        <w:t>офтальмол</w:t>
      </w:r>
      <w:proofErr w:type="spellEnd"/>
      <w:r w:rsidRPr="001D70E8">
        <w:t xml:space="preserve">. – 2000. – №1. – С. 6–10. </w:t>
      </w:r>
    </w:p>
    <w:p w14:paraId="16FD3CE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4. Егоров Е.А., Бабушкин А.Э. Клапанная </w:t>
      </w:r>
      <w:proofErr w:type="spellStart"/>
      <w:r w:rsidRPr="001D70E8">
        <w:t>трабекулотомия</w:t>
      </w:r>
      <w:proofErr w:type="spellEnd"/>
      <w:r w:rsidRPr="001D70E8">
        <w:t xml:space="preserve"> с </w:t>
      </w:r>
      <w:proofErr w:type="spellStart"/>
      <w:r w:rsidRPr="001D70E8">
        <w:t>аутосклеральным</w:t>
      </w:r>
      <w:proofErr w:type="spellEnd"/>
      <w:r w:rsidRPr="001D70E8">
        <w:t xml:space="preserve"> </w:t>
      </w:r>
      <w:proofErr w:type="spellStart"/>
      <w:r w:rsidRPr="001D70E8">
        <w:t>имплантантом</w:t>
      </w:r>
      <w:proofErr w:type="spellEnd"/>
      <w:r w:rsidRPr="001D70E8">
        <w:t xml:space="preserve"> в хирургии глаукомы. //Вестник офтальмологии 1988г. №1. стр.7–9. </w:t>
      </w:r>
    </w:p>
    <w:p w14:paraId="0C16BB0C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5. Краснов М.М. Микрохирургия глаукомы. //М., “Медицина” 1980г. стр.116–126. </w:t>
      </w:r>
    </w:p>
    <w:p w14:paraId="5F126D43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6. Косых Н.В. Хирургическая активация </w:t>
      </w:r>
      <w:proofErr w:type="spellStart"/>
      <w:r w:rsidRPr="001D70E8">
        <w:t>внедренажного</w:t>
      </w:r>
      <w:proofErr w:type="spellEnd"/>
      <w:r w:rsidRPr="001D70E8">
        <w:t xml:space="preserve"> оттока внутриглазной жидкости при глаукоме: Автореферат </w:t>
      </w:r>
      <w:proofErr w:type="spellStart"/>
      <w:r w:rsidRPr="001D70E8">
        <w:t>дис</w:t>
      </w:r>
      <w:proofErr w:type="spellEnd"/>
      <w:r w:rsidRPr="001D70E8">
        <w:t xml:space="preserve">.... </w:t>
      </w:r>
      <w:proofErr w:type="spellStart"/>
      <w:r w:rsidRPr="001D70E8">
        <w:t>д</w:t>
      </w:r>
      <w:proofErr w:type="spellEnd"/>
      <w:r w:rsidRPr="001D70E8">
        <w:t>–</w:t>
      </w:r>
      <w:proofErr w:type="spellStart"/>
      <w:r w:rsidRPr="001D70E8">
        <w:t>ра</w:t>
      </w:r>
      <w:proofErr w:type="spellEnd"/>
      <w:r w:rsidRPr="001D70E8">
        <w:t xml:space="preserve"> мед. наук. – М., 1992. </w:t>
      </w:r>
    </w:p>
    <w:p w14:paraId="60F67C2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7. Нестеров А.П Д Колесникова Л.Н. </w:t>
      </w:r>
      <w:proofErr w:type="spellStart"/>
      <w:r w:rsidRPr="001D70E8">
        <w:t>Фистулизирующая</w:t>
      </w:r>
      <w:proofErr w:type="spellEnd"/>
      <w:r w:rsidRPr="001D70E8">
        <w:t xml:space="preserve"> </w:t>
      </w:r>
      <w:proofErr w:type="spellStart"/>
      <w:r w:rsidRPr="001D70E8">
        <w:t>иридоциклоретракция</w:t>
      </w:r>
      <w:proofErr w:type="spellEnd"/>
      <w:r w:rsidRPr="001D70E8">
        <w:t xml:space="preserve">. //Вестник офтальмологии </w:t>
      </w:r>
      <w:smartTag w:uri="urn:schemas-microsoft-com:office:smarttags" w:element="metricconverter">
        <w:smartTagPr>
          <w:attr w:name="ProductID" w:val="1984 г"/>
        </w:smartTagPr>
        <w:r w:rsidRPr="001D70E8">
          <w:t>1984 г</w:t>
        </w:r>
      </w:smartTag>
      <w:r w:rsidRPr="001D70E8">
        <w:t xml:space="preserve">. №1.стр. 10– 12. </w:t>
      </w:r>
    </w:p>
    <w:p w14:paraId="6B04E131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8. Нестеров А. П. Первичная глаукома. – М.,1995. </w:t>
      </w:r>
    </w:p>
    <w:p w14:paraId="35400186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9. Рябцева А.А. Комбинированная глаукома. Автореферат </w:t>
      </w:r>
      <w:proofErr w:type="spellStart"/>
      <w:r w:rsidRPr="001D70E8">
        <w:t>дис</w:t>
      </w:r>
      <w:proofErr w:type="spellEnd"/>
      <w:r w:rsidRPr="001D70E8">
        <w:t xml:space="preserve">.... </w:t>
      </w:r>
      <w:proofErr w:type="spellStart"/>
      <w:r w:rsidRPr="001D70E8">
        <w:t>д</w:t>
      </w:r>
      <w:proofErr w:type="spellEnd"/>
      <w:r w:rsidRPr="001D70E8">
        <w:t>–</w:t>
      </w:r>
      <w:proofErr w:type="spellStart"/>
      <w:r w:rsidRPr="001D70E8">
        <w:t>ра</w:t>
      </w:r>
      <w:proofErr w:type="spellEnd"/>
      <w:r w:rsidRPr="001D70E8">
        <w:t xml:space="preserve"> мед. наук. – М.. 1996. </w:t>
      </w:r>
    </w:p>
    <w:p w14:paraId="73873ABB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t xml:space="preserve">10. Федоров С. Н., Иоффе Д. ИД </w:t>
      </w:r>
      <w:proofErr w:type="spellStart"/>
      <w:r w:rsidRPr="001D70E8">
        <w:t>Ронкина</w:t>
      </w:r>
      <w:proofErr w:type="spellEnd"/>
      <w:r w:rsidRPr="001D70E8">
        <w:t xml:space="preserve"> Т.И. </w:t>
      </w:r>
      <w:proofErr w:type="spellStart"/>
      <w:r w:rsidRPr="001D70E8">
        <w:t>Антиглаукоматозная</w:t>
      </w:r>
      <w:proofErr w:type="spellEnd"/>
      <w:r w:rsidRPr="001D70E8">
        <w:t xml:space="preserve"> операция – глубокая </w:t>
      </w:r>
      <w:proofErr w:type="spellStart"/>
      <w:r w:rsidRPr="001D70E8">
        <w:t>склерэктомия</w:t>
      </w:r>
      <w:proofErr w:type="spellEnd"/>
      <w:r w:rsidRPr="001D70E8">
        <w:t xml:space="preserve">. //Вестник офтальмологии 1982г. №4. стр. 6–10. </w:t>
      </w:r>
    </w:p>
    <w:p w14:paraId="25E51BF6" w14:textId="77777777" w:rsidR="001D70E8" w:rsidRPr="001D70E8" w:rsidRDefault="001D70E8" w:rsidP="0018270E">
      <w:pPr>
        <w:pStyle w:val="a3"/>
        <w:spacing w:before="0" w:beforeAutospacing="0" w:after="0" w:afterAutospacing="0"/>
        <w:ind w:firstLine="709"/>
        <w:jc w:val="both"/>
      </w:pPr>
      <w:r w:rsidRPr="001D70E8">
        <w:lastRenderedPageBreak/>
        <w:t xml:space="preserve">11. </w:t>
      </w:r>
      <w:proofErr w:type="spellStart"/>
      <w:r w:rsidRPr="001D70E8">
        <w:t>Cairns</w:t>
      </w:r>
      <w:proofErr w:type="spellEnd"/>
      <w:r w:rsidRPr="001D70E8">
        <w:t xml:space="preserve"> J. </w:t>
      </w:r>
      <w:proofErr w:type="spellStart"/>
      <w:r w:rsidRPr="001D70E8">
        <w:t>Trabeculoectomy</w:t>
      </w:r>
      <w:proofErr w:type="spellEnd"/>
      <w:r w:rsidRPr="001D70E8">
        <w:t>. //</w:t>
      </w:r>
      <w:proofErr w:type="spellStart"/>
      <w:r w:rsidRPr="001D70E8">
        <w:t>Amer</w:t>
      </w:r>
      <w:proofErr w:type="spellEnd"/>
      <w:r w:rsidRPr="001D70E8">
        <w:t xml:space="preserve">. J. </w:t>
      </w:r>
      <w:proofErr w:type="spellStart"/>
      <w:r w:rsidRPr="001D70E8">
        <w:t>Ophth</w:t>
      </w:r>
      <w:proofErr w:type="spellEnd"/>
      <w:r w:rsidRPr="001D70E8">
        <w:t xml:space="preserve">. 1968 V.66. </w:t>
      </w:r>
      <w:proofErr w:type="spellStart"/>
      <w:r w:rsidRPr="001D70E8">
        <w:t>p</w:t>
      </w:r>
      <w:proofErr w:type="spellEnd"/>
      <w:r w:rsidRPr="001D70E8">
        <w:t>. 673–679.</w:t>
      </w:r>
    </w:p>
    <w:p w14:paraId="616E61F0" w14:textId="77777777" w:rsidR="001D70E8" w:rsidRPr="001D70E8" w:rsidRDefault="001D70E8"/>
    <w:sectPr w:rsidR="001D70E8" w:rsidRPr="001D70E8" w:rsidSect="001827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80E"/>
    <w:multiLevelType w:val="multilevel"/>
    <w:tmpl w:val="FA2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82A08"/>
    <w:multiLevelType w:val="multilevel"/>
    <w:tmpl w:val="70C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6312"/>
    <w:multiLevelType w:val="multilevel"/>
    <w:tmpl w:val="E12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B340C"/>
    <w:multiLevelType w:val="multilevel"/>
    <w:tmpl w:val="B8C0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D0477"/>
    <w:multiLevelType w:val="multilevel"/>
    <w:tmpl w:val="07A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60CCE"/>
    <w:multiLevelType w:val="multilevel"/>
    <w:tmpl w:val="EAD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AC7"/>
    <w:multiLevelType w:val="multilevel"/>
    <w:tmpl w:val="DB2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A68E4"/>
    <w:multiLevelType w:val="multilevel"/>
    <w:tmpl w:val="673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84818"/>
    <w:multiLevelType w:val="multilevel"/>
    <w:tmpl w:val="F89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85D69"/>
    <w:multiLevelType w:val="multilevel"/>
    <w:tmpl w:val="7DF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F708D"/>
    <w:multiLevelType w:val="multilevel"/>
    <w:tmpl w:val="393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E8"/>
    <w:rsid w:val="0018270E"/>
    <w:rsid w:val="001D70E8"/>
    <w:rsid w:val="003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BDA69"/>
  <w15:chartTrackingRefBased/>
  <w15:docId w15:val="{BA5C4CEE-70F5-4A6C-985E-9E95047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7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глаукомы с помощью хирургического вмешательства </vt:lpstr>
    </vt:vector>
  </TitlesOfParts>
  <Company>HOME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глаукомы с помощью хирургического вмешательства</dc:title>
  <dc:subject/>
  <dc:creator>USER</dc:creator>
  <cp:keywords/>
  <dc:description/>
  <cp:lastModifiedBy>Igor</cp:lastModifiedBy>
  <cp:revision>2</cp:revision>
  <dcterms:created xsi:type="dcterms:W3CDTF">2024-10-30T08:02:00Z</dcterms:created>
  <dcterms:modified xsi:type="dcterms:W3CDTF">2024-10-30T08:02:00Z</dcterms:modified>
</cp:coreProperties>
</file>