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7926D3">
      <w:pPr>
        <w:widowControl w:val="0"/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Лечение ультразвуковым фонофорезом </w:t>
      </w:r>
    </w:p>
    <w:p w:rsidR="00000000" w:rsidRDefault="007926D3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Отбор пациентов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Отбор, консультация и лечение производится, как правило, среди следующих групп пациентов: </w:t>
      </w:r>
    </w:p>
    <w:p w:rsidR="00000000" w:rsidRDefault="007926D3">
      <w:pPr>
        <w:widowControl w:val="0"/>
        <w:spacing w:before="120"/>
        <w:ind w:firstLine="567"/>
        <w:jc w:val="both"/>
      </w:pPr>
      <w:r>
        <w:t>Пациенты, ча</w:t>
      </w:r>
      <w:r>
        <w:t xml:space="preserve">сто болеющие ОРЗ и вирусными инфекциями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Часто болеющие ангинами: более одного раза в год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Пациенты с субфебрилитетом неясного генеза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Пациенты с подчелюстными и шейными лимфаденитами </w:t>
      </w:r>
    </w:p>
    <w:p w:rsidR="00000000" w:rsidRDefault="007926D3">
      <w:pPr>
        <w:widowControl w:val="0"/>
        <w:spacing w:before="120"/>
        <w:ind w:firstLine="567"/>
        <w:jc w:val="both"/>
      </w:pPr>
      <w:r>
        <w:t>Имеющие противопоказания к оперативному лечению хронического тонзиллита</w:t>
      </w:r>
      <w:r>
        <w:t xml:space="preserve">: заболевания крови (гемофилия и другие заболевания кроветворной системы с выраженным геморрагическим синдромом); тяжелая степень сахарного диабета; хронический нефрит с ХПН </w:t>
      </w:r>
    </w:p>
    <w:p w:rsidR="00000000" w:rsidRDefault="007926D3">
      <w:pPr>
        <w:widowControl w:val="0"/>
        <w:spacing w:before="120"/>
        <w:ind w:firstLine="567"/>
        <w:jc w:val="both"/>
      </w:pPr>
      <w:r>
        <w:t>Если после проведенного одного курса лечения ХТ методом НУЗФФ наблюдается кратков</w:t>
      </w:r>
      <w:r>
        <w:t xml:space="preserve">ременный эффект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Перед операцией по поводу заболеваний женской половой сферы и щитовидной железы </w:t>
      </w:r>
    </w:p>
    <w:p w:rsidR="00000000" w:rsidRDefault="007926D3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Противопоказания к лечению хронического тонзиллита методом низкочастотного ультразвукового фонофореза: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Гипертоническая болезнь (нестабильные показатели АД и </w:t>
      </w:r>
      <w:r>
        <w:t xml:space="preserve">склонность к гипертоническим кризам)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Выраженные атеросклеротические изменения кровеносных сосудов сердца и головного мозга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Резко выраженная дисфункция вегетативного отдела нервной системы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Острые инфекционные заболевания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Активный туберкулез легких </w:t>
      </w:r>
    </w:p>
    <w:p w:rsidR="00000000" w:rsidRDefault="007926D3">
      <w:pPr>
        <w:widowControl w:val="0"/>
        <w:spacing w:before="120"/>
        <w:ind w:firstLine="567"/>
        <w:jc w:val="both"/>
      </w:pPr>
      <w:r>
        <w:t>Злок</w:t>
      </w:r>
      <w:r>
        <w:t xml:space="preserve">ачественные новообразования любой локализации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Беременность (первые 3 месяца и последний месяц </w:t>
      </w:r>
    </w:p>
    <w:p w:rsidR="00000000" w:rsidRDefault="007926D3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 лечения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Перед проведением курса лечения проводится клиническое обследование: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сбор анамнеза · тщательный осмотр ЛОР-органов </w:t>
      </w:r>
    </w:p>
    <w:p w:rsidR="00000000" w:rsidRDefault="007926D3">
      <w:pPr>
        <w:widowControl w:val="0"/>
        <w:spacing w:before="120"/>
        <w:ind w:firstLine="567"/>
        <w:jc w:val="both"/>
      </w:pPr>
      <w:r>
        <w:t>изучение и анализ состояни</w:t>
      </w:r>
      <w:r>
        <w:t xml:space="preserve">я внутренних органов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общий анализ крови и мочи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флюорография органов грудной клетки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ЭКГ </w:t>
      </w:r>
    </w:p>
    <w:p w:rsidR="00000000" w:rsidRDefault="007926D3">
      <w:pPr>
        <w:widowControl w:val="0"/>
        <w:spacing w:before="120"/>
        <w:ind w:firstLine="567"/>
        <w:jc w:val="both"/>
      </w:pPr>
      <w:r>
        <w:t>При необходимости использую консультации с врачами всех специальностей (иммунологами, аллергологами, невропатологами, терапевтами, окулистами, стоматологами, гастроэ</w:t>
      </w:r>
      <w:r>
        <w:t xml:space="preserve">нтерологами и др.).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Предварительный этап: вскрытие нагноившихся фолликул, кист на небных миндалинах, рассекаются спайки, возможные рубцы.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Перед проведением сеанса пациенту оказывается местная анестезия зева для подавления </w:t>
      </w:r>
      <w:r>
        <w:lastRenderedPageBreak/>
        <w:t>глоточного рефлекса. Растворы ан</w:t>
      </w:r>
      <w:r>
        <w:t xml:space="preserve">естетика - в зависимости от возраста пациента и его индивидуальной переносимости. </w:t>
      </w:r>
    </w:p>
    <w:p w:rsidR="00000000" w:rsidRDefault="007926D3">
      <w:pPr>
        <w:widowControl w:val="0"/>
        <w:spacing w:before="120"/>
        <w:ind w:firstLine="567"/>
        <w:jc w:val="both"/>
      </w:pPr>
      <w:r>
        <w:t>Первый этап: озвучивание миндалин в среде 0.1% раствора перекиси водорода, чем достигается расширение устьев лакун и их очистка от патологического содержимого (гнойных пробо</w:t>
      </w:r>
      <w:r>
        <w:t xml:space="preserve">к, детрита, патогенной микрофлоры), в итоге - восстановление дренажной функции миндалин.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Терапевтические эффекты озвучивания: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Содержимое лакун удалятся раствором, постоянно протекающим через аппликатор, в банку-сборник отсоса. </w:t>
      </w:r>
    </w:p>
    <w:p w:rsidR="00000000" w:rsidRDefault="007926D3">
      <w:pPr>
        <w:widowControl w:val="0"/>
        <w:spacing w:before="120"/>
        <w:ind w:firstLine="567"/>
        <w:jc w:val="both"/>
      </w:pPr>
      <w:r>
        <w:t>Возникающие акустические т</w:t>
      </w:r>
      <w:r>
        <w:t xml:space="preserve">ечения и переменное звуковое давление осуществляют микромассаж ткани миндалин. </w:t>
      </w:r>
    </w:p>
    <w:p w:rsidR="00000000" w:rsidRDefault="007926D3">
      <w:pPr>
        <w:widowControl w:val="0"/>
        <w:spacing w:before="120"/>
        <w:ind w:firstLine="567"/>
        <w:jc w:val="both"/>
      </w:pPr>
      <w:r>
        <w:t>Поскольку колебательное ускорение при используемых параметрах ультразвука достаточно велико, обеспечивается явление кавитации (возникновение микроскопических пузырьков пара - р</w:t>
      </w:r>
      <w:r>
        <w:t>аствор кипит при комнатной температуре вследствие образования микроскопических зон низкого давления). Поскольку раствор перекиси водорода химически неустойчив, следствием кавитации является выделение кислорода, который оказывает бактерицидное действие, и к</w:t>
      </w:r>
      <w:r>
        <w:t xml:space="preserve">оторым насыщается ткань миндалин. Оксигенация ткани миндалин также оказывает существенный терапевтический эффект.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Экспозиция: 60-120 секунд в зависимости от возраста пациента, формы тонзиллита, состояния ткани миндалин и других факторов. Снижение времени </w:t>
      </w:r>
      <w:r>
        <w:t xml:space="preserve">экспозиции менее 60 секунд резко снижает длительность терапевтического эффекта лечения.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Второй этап: введение лекарств с помощью низкочастотного ультразвука (фонофорез) - лизоцим, интерферон, тимоген, гидрокортизон, которые ускоряют процесс регенерации в </w:t>
      </w:r>
      <w:r>
        <w:t xml:space="preserve">паренхиме миндалин. Под действием ультразвука растворы или мази проникают в паренхиму, создавая депо препарата. </w:t>
      </w:r>
    </w:p>
    <w:p w:rsidR="00000000" w:rsidRDefault="007926D3">
      <w:pPr>
        <w:widowControl w:val="0"/>
        <w:spacing w:before="120"/>
        <w:ind w:firstLine="567"/>
        <w:jc w:val="both"/>
      </w:pPr>
      <w:r>
        <w:t>Экспозиция: 10-20 секунд - индивидуально. Экспозиция менее 10 секунд недостаточна для фореза препарата, более 20 секунд - чревато опасностью те</w:t>
      </w:r>
      <w:r>
        <w:t xml:space="preserve">рмического и механического поражения эпителия и паренхимы </w:t>
      </w:r>
    </w:p>
    <w:p w:rsidR="00000000" w:rsidRDefault="007926D3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Схема лечения</w:t>
      </w:r>
    </w:p>
    <w:p w:rsidR="00000000" w:rsidRDefault="007926D3">
      <w:pPr>
        <w:widowControl w:val="0"/>
        <w:spacing w:before="120"/>
        <w:ind w:firstLine="567"/>
        <w:jc w:val="both"/>
      </w:pPr>
      <w:r>
        <w:t>Курс лечения - 8-10 сеансов.</w:t>
      </w:r>
    </w:p>
    <w:p w:rsidR="00000000" w:rsidRDefault="007926D3">
      <w:pPr>
        <w:widowControl w:val="0"/>
        <w:spacing w:before="120"/>
        <w:ind w:firstLine="567"/>
        <w:jc w:val="both"/>
      </w:pPr>
      <w:r>
        <w:t>Первые 2-3 сеанса только озвучивание миндалин без проведения фонофореза - проводится этап лечения преимущественно для расширения устьев лакун и очистки ла</w:t>
      </w:r>
      <w:r>
        <w:t>кун от патологического содержимого.</w:t>
      </w:r>
      <w:r>
        <w:br/>
        <w:t>Последующие сеансы - озвучивание + фонофорез.</w:t>
      </w:r>
      <w:r>
        <w:br/>
        <w:t xml:space="preserve">Курс лечения - 8-10 сеансов. Как правило, 2-й курс - через 3 месяца с контролем через 1 месяц. Проводится 2-3 курса, после чего проводится анализ результатов лечения. </w:t>
      </w:r>
    </w:p>
    <w:p w:rsidR="00000000" w:rsidRDefault="007926D3">
      <w:pPr>
        <w:widowControl w:val="0"/>
        <w:spacing w:before="120"/>
        <w:ind w:firstLine="567"/>
        <w:jc w:val="both"/>
      </w:pPr>
      <w:r>
        <w:t>В даль</w:t>
      </w:r>
      <w:r>
        <w:t xml:space="preserve">нейшем лечение проводится в зависимости от показаний - 1-2 раза в год с параллельным использованием традиционных методик. </w:t>
      </w:r>
    </w:p>
    <w:p w:rsidR="00000000" w:rsidRDefault="007926D3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лечения - собственный опыт за 13 лет </w:t>
      </w:r>
    </w:p>
    <w:p w:rsidR="00000000" w:rsidRDefault="007926D3">
      <w:pPr>
        <w:widowControl w:val="0"/>
        <w:spacing w:before="120"/>
        <w:ind w:firstLine="567"/>
        <w:jc w:val="both"/>
      </w:pPr>
      <w:r>
        <w:t>За 13 лет лечение в кабинете прошло 1900 человек в возрасте от 3 до 65 лет. Длительн</w:t>
      </w:r>
      <w:r>
        <w:t xml:space="preserve">ость заболевания хроническим тонзиллитом у пациентов составляла от 2 до 45 лет.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Значительная часть пациентов (55%) перед началом лечения имели декомпенсированную форму ХТ (2 и более ангин в год). </w:t>
      </w:r>
    </w:p>
    <w:p w:rsidR="00000000" w:rsidRDefault="007926D3">
      <w:pPr>
        <w:widowControl w:val="0"/>
        <w:spacing w:before="120"/>
        <w:ind w:firstLine="567"/>
        <w:jc w:val="both"/>
      </w:pPr>
      <w:r>
        <w:t>По результатам лечения я условно разделяю пациентов на 3 г</w:t>
      </w:r>
      <w:r>
        <w:t xml:space="preserve">руппы: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1. Пациенты прошедшие один, иногда два курса и достигшие хорошего результата: </w:t>
      </w:r>
      <w:r>
        <w:lastRenderedPageBreak/>
        <w:t>нормализовалась фарингоскопическая картина, исчезли признаки тонзиллогенной интоксикации, пришли в норму показатели лабораторных исследований. Пациенты этой группы посеща</w:t>
      </w:r>
      <w:r>
        <w:t xml:space="preserve">ют кабинет только для контроля. Рецидивов тонзиллита у них не проявляется. Обычно в эту группу входят дети, молодые люди до 32 лет, пациенты с компенсированной формой ХТ. Эта группа составляет ~64% от общего числа пациентов, прошедших лечение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2. Пациенты </w:t>
      </w:r>
      <w:r>
        <w:t xml:space="preserve">прошедшие, как правило, два курса и достигших значительного улучшения, однако имеющие некоторые проявления рецидивов тонзиллита: казеозные пробки, дискомфорт в области глотки, сезонные боли в суставах. Эта группа составляет ~30% от общего числа пациентов, </w:t>
      </w:r>
      <w:r>
        <w:t xml:space="preserve">прошедших лечение </w:t>
      </w:r>
    </w:p>
    <w:p w:rsidR="00000000" w:rsidRDefault="007926D3">
      <w:pPr>
        <w:widowControl w:val="0"/>
        <w:spacing w:before="120"/>
        <w:ind w:firstLine="567"/>
        <w:jc w:val="both"/>
      </w:pPr>
      <w:r>
        <w:t>3. Пациенты, при лечении получающие временное улучшение. Сохраняются местные и общие признаки ХТ. Лабораторные данные почти без изменения. Как правило, это - пациенты пожилого возраста, и время заболевания ХТ более 15 лет. Доля - около 6</w:t>
      </w:r>
      <w:r>
        <w:t xml:space="preserve">% от общего числа пациентов. </w:t>
      </w:r>
    </w:p>
    <w:p w:rsidR="00000000" w:rsidRDefault="007926D3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Симптоматика перед проведением лечения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У 85% всех пациентов выявлены сопутствующие заболевания.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У 72% - регионарный лимфаденит.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У 38% - дискомфорт в области глотки с болями в области шеи, ушей, и челюсти неясного характера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У 87% - казеозные и гнойные пробки в лакунах при массаже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У 98% - положительный симптом Преображенского, Зака, Гизе.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У 27% - 3-я - 4-я степень гипертрофии небных миндалин.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У 58% - субфебрилитет </w:t>
      </w:r>
    </w:p>
    <w:p w:rsidR="00000000" w:rsidRDefault="007926D3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Симптоматика после проведения полного курса лечения </w:t>
      </w:r>
    </w:p>
    <w:p w:rsidR="00000000" w:rsidRDefault="007926D3">
      <w:pPr>
        <w:widowControl w:val="0"/>
        <w:spacing w:before="120"/>
        <w:ind w:firstLine="567"/>
        <w:jc w:val="both"/>
      </w:pPr>
      <w:r>
        <w:t>У</w:t>
      </w:r>
      <w:r>
        <w:t xml:space="preserve"> 61% исчез регионарный лимфаденит </w:t>
      </w:r>
    </w:p>
    <w:p w:rsidR="00000000" w:rsidRDefault="007926D3">
      <w:pPr>
        <w:widowControl w:val="0"/>
        <w:spacing w:before="120"/>
        <w:ind w:firstLine="567"/>
        <w:jc w:val="both"/>
      </w:pPr>
      <w:r>
        <w:t>У 91% отмечен положительный эффект: исчез дискомфорт в области глотки, пациенты перестали ощущать свои миндалины, исчезли боли в области глотки, появилось чувство легкости · Фарингоскопически исчезла отечность и гиперемия</w:t>
      </w:r>
      <w:r>
        <w:t xml:space="preserve"> в области устьев лакун, которые стали кратерообразными; исчезли гнойно-казеозные пробки - 85%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Гипертрофия небных миндалин уменьшилась у 64% (дети, лица в возрасте до 32 лет) </w:t>
      </w:r>
    </w:p>
    <w:p w:rsidR="00000000" w:rsidRDefault="007926D3">
      <w:pPr>
        <w:widowControl w:val="0"/>
        <w:spacing w:before="120"/>
        <w:ind w:firstLine="567"/>
        <w:jc w:val="both"/>
      </w:pPr>
      <w:r>
        <w:t>Ткань миндалин стала более эластичной, слизистая бледно-розовой или розовой; си</w:t>
      </w:r>
      <w:r>
        <w:t xml:space="preserve">мптом Преображенского, Зака, Гизе исчезли у 87%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Практически у всех пациентов исчез субфебрилитет </w:t>
      </w:r>
    </w:p>
    <w:p w:rsidR="00000000" w:rsidRDefault="007926D3">
      <w:pPr>
        <w:widowControl w:val="0"/>
        <w:spacing w:before="120"/>
        <w:ind w:firstLine="567"/>
        <w:jc w:val="both"/>
      </w:pPr>
      <w:r>
        <w:t>Кроме того, есть небольшая часть пациентов - ~2,5-3% (чаще всего из первой группы), не явившиеся на контроль после проведенного лечения. Часть из них, предпо</w:t>
      </w:r>
      <w:r>
        <w:t xml:space="preserve">ложительно, - по причине абсолютного излечения, часть - в связи с переменой места жительства. </w:t>
      </w:r>
    </w:p>
    <w:p w:rsidR="00000000" w:rsidRDefault="007926D3">
      <w:pPr>
        <w:widowControl w:val="0"/>
        <w:spacing w:before="120"/>
        <w:ind w:firstLine="567"/>
        <w:jc w:val="both"/>
      </w:pPr>
      <w:r>
        <w:t>Те пациенты, для которых лечение ХТ методом НУЗФФ оказалось неэффективным направлены на тонзиллэктомию: 7 пациентов из 3-й группы (у 3-х из них до лечения был па</w:t>
      </w:r>
      <w:r>
        <w:t>ратонзиллярный абсцесс, у 4-х повторились ангины после 3-х курсов лечения); и 4 человека из второй группы (2 пациента по причине личной неприемлемости казеозных пробок, 1 чел. - по результатам альтернативных консультаций с другими специалистами, у 1 пациен</w:t>
      </w:r>
      <w:r>
        <w:t xml:space="preserve">та сохранялся субфебрилитет)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Отдаленные результаты лечения наблюдались у 1736 чел в течение 5 лет с контролем через 1 - 3 - 6 - 9 - 12 месяцев, а также 1 - 2 - 5 лет. </w:t>
      </w:r>
    </w:p>
    <w:p w:rsidR="00000000" w:rsidRDefault="007926D3">
      <w:pPr>
        <w:widowControl w:val="0"/>
        <w:spacing w:before="120"/>
        <w:ind w:firstLine="567"/>
        <w:jc w:val="both"/>
      </w:pPr>
      <w:r>
        <w:t>В течение первого года рецидив заболеваний наблюдался у 27%, если проводился 1 курс леч</w:t>
      </w:r>
      <w:r>
        <w:t>ения. При повторном проведении лечения у 62% пациентов этой группы нормализовалась фарингоскопическая картина и лабораторные данные. 27% этой группы отмечали улучшение состояния и лишь 11% - без изменения. Этой категории пациентов рекомендовано и проводило</w:t>
      </w:r>
      <w:r>
        <w:t>сь ежегодное НУЗ небных миндалин - рецидивов ангин, проявлений тонзиллогенной интоксикаций, неблагоприятных изменений в миндалинах и отрицательной динамики в лабораторных данных обнаружено у 3% во второй год и 0,5% в третий год. В течение 4 и 5-го года анг</w:t>
      </w:r>
      <w:r>
        <w:t xml:space="preserve">ин не было, больные меьше болеют ОРЗ и гриппом.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Пациенты, прошедшие два курса лечения в год через 3 или 6 месяцев (чаще весна, осень) имели рецидив 7% - это вторая группа пациентов. </w:t>
      </w:r>
    </w:p>
    <w:p w:rsidR="00000000" w:rsidRDefault="007926D3">
      <w:pPr>
        <w:widowControl w:val="0"/>
        <w:spacing w:before="120"/>
        <w:ind w:firstLine="567"/>
        <w:jc w:val="both"/>
      </w:pPr>
      <w:r>
        <w:t xml:space="preserve">Та категория пациентов, которая проводила курс лечения НУЗ 3 раза в год </w:t>
      </w:r>
      <w:r>
        <w:t xml:space="preserve">через 3 и 6 месяцев после первого года лечения имела рецидив заболевания в 3%. </w:t>
      </w:r>
    </w:p>
    <w:p w:rsidR="00000000" w:rsidRDefault="007926D3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лечения - анализ эффективности</w:t>
      </w:r>
    </w:p>
    <w:tbl>
      <w:tblPr>
        <w:tblW w:w="4750" w:type="pct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87"/>
        <w:gridCol w:w="1603"/>
        <w:gridCol w:w="1923"/>
        <w:gridCol w:w="703"/>
        <w:gridCol w:w="981"/>
        <w:gridCol w:w="693"/>
        <w:gridCol w:w="966"/>
        <w:gridCol w:w="771"/>
        <w:gridCol w:w="929"/>
      </w:tblGrid>
      <w:tr w:rsidR="00000000">
        <w:trPr>
          <w:cantSplit/>
          <w:tblCellSpacing w:w="15" w:type="dxa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Год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Пров. сеансов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Число пациентов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С улучшением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Без изменения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С ухудшением </w:t>
            </w:r>
          </w:p>
        </w:tc>
      </w:tr>
      <w:tr w:rsidR="00000000">
        <w:trPr>
          <w:cantSplit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926D3">
            <w:pPr>
              <w:widowControl w:val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926D3">
            <w:pPr>
              <w:widowControl w:val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926D3">
            <w:pPr>
              <w:widowControl w:val="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абс.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абс.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абс.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%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1998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1562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126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77,8%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19,0%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3,2%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1999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1544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130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86,7%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8,7%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4,7%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2000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1504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174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158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90,8%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8,0%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2,9%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4610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386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85,8%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11,3%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jc w:val="both"/>
            </w:pPr>
            <w:r>
              <w:t xml:space="preserve">3,6% </w:t>
            </w:r>
          </w:p>
        </w:tc>
      </w:tr>
    </w:tbl>
    <w:p w:rsidR="00000000" w:rsidRDefault="005C2776">
      <w:pPr>
        <w:widowControl w:val="0"/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3552825" cy="1943100"/>
            <wp:effectExtent l="0" t="0" r="0" b="0"/>
            <wp:docPr id="1" name="Рисунок 1" descr="D:\ref\скачанное\medicinform6\htrez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f\скачанное\medicinform6\htrez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926D3">
      <w:pPr>
        <w:widowControl w:val="0"/>
        <w:spacing w:before="120"/>
        <w:ind w:firstLine="567"/>
        <w:jc w:val="both"/>
      </w:pPr>
      <w:r>
        <w:t>По симптомам</w:t>
      </w:r>
    </w:p>
    <w:tbl>
      <w:tblPr>
        <w:tblW w:w="4750" w:type="pct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58"/>
        <w:gridCol w:w="2057"/>
        <w:gridCol w:w="2441"/>
      </w:tblGrid>
      <w:tr w:rsidR="00000000">
        <w:trPr>
          <w:cantSplit/>
          <w:tblCellSpacing w:w="15" w:type="dxa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000000" w:rsidRDefault="007926D3">
            <w:pPr>
              <w:widowControl w:val="0"/>
              <w:spacing w:before="120"/>
              <w:ind w:firstLine="567"/>
              <w:jc w:val="both"/>
            </w:pPr>
            <w:r>
              <w:t>Симптомы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000000" w:rsidRDefault="007926D3">
            <w:pPr>
              <w:widowControl w:val="0"/>
              <w:spacing w:before="120"/>
              <w:ind w:firstLine="567"/>
              <w:jc w:val="both"/>
            </w:pPr>
            <w:r>
              <w:t>Наличие симптома у пациентов, %</w:t>
            </w:r>
          </w:p>
        </w:tc>
      </w:tr>
      <w:tr w:rsidR="00000000">
        <w:trPr>
          <w:cantSplit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926D3">
            <w:pPr>
              <w:widowControl w:val="0"/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spacing w:before="120"/>
              <w:ind w:firstLine="567"/>
              <w:jc w:val="both"/>
            </w:pPr>
            <w:r>
              <w:t>До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spacing w:before="120"/>
              <w:ind w:firstLine="567"/>
              <w:jc w:val="both"/>
            </w:pPr>
            <w:r>
              <w:t>После лечения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926D3">
            <w:pPr>
              <w:widowControl w:val="0"/>
              <w:spacing w:before="120"/>
              <w:ind w:firstLine="567"/>
              <w:jc w:val="both"/>
            </w:pPr>
            <w:r>
              <w:t>Регионарный лимфаденит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926D3">
            <w:pPr>
              <w:widowControl w:val="0"/>
              <w:spacing w:before="120"/>
              <w:ind w:firstLine="567"/>
              <w:jc w:val="both"/>
            </w:pPr>
            <w: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926D3">
            <w:pPr>
              <w:widowControl w:val="0"/>
              <w:spacing w:before="120"/>
              <w:ind w:firstLine="567"/>
              <w:jc w:val="both"/>
            </w:pPr>
            <w:r>
              <w:t>12,2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spacing w:before="120"/>
              <w:ind w:firstLine="567"/>
              <w:jc w:val="both"/>
            </w:pPr>
            <w:r>
              <w:t>Дискомфорт в области глотки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spacing w:before="120"/>
              <w:ind w:firstLine="567"/>
              <w:jc w:val="both"/>
            </w:pPr>
            <w: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spacing w:before="120"/>
              <w:ind w:firstLine="567"/>
              <w:jc w:val="both"/>
            </w:pPr>
            <w:r>
              <w:t>3,2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926D3">
            <w:pPr>
              <w:widowControl w:val="0"/>
              <w:spacing w:before="120"/>
              <w:ind w:firstLine="567"/>
              <w:jc w:val="both"/>
            </w:pPr>
            <w:r>
              <w:t>Казеозные пробки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926D3">
            <w:pPr>
              <w:widowControl w:val="0"/>
              <w:spacing w:before="120"/>
              <w:ind w:firstLine="567"/>
              <w:jc w:val="both"/>
            </w:pPr>
            <w: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926D3">
            <w:pPr>
              <w:widowControl w:val="0"/>
              <w:spacing w:before="120"/>
              <w:ind w:firstLine="567"/>
              <w:jc w:val="both"/>
            </w:pPr>
            <w:r>
              <w:t>13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spacing w:before="120"/>
              <w:ind w:firstLine="567"/>
              <w:jc w:val="both"/>
            </w:pPr>
            <w:r>
              <w:t>Симптом Преображенского-Зака-Гизе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spacing w:before="120"/>
              <w:ind w:firstLine="567"/>
              <w:jc w:val="both"/>
            </w:pPr>
            <w: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spacing w:before="120"/>
              <w:ind w:firstLine="567"/>
              <w:jc w:val="both"/>
            </w:pPr>
            <w:r>
              <w:t>12,9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926D3">
            <w:pPr>
              <w:widowControl w:val="0"/>
              <w:spacing w:before="120"/>
              <w:ind w:firstLine="567"/>
              <w:jc w:val="both"/>
            </w:pPr>
            <w:r>
              <w:t>Гип</w:t>
            </w:r>
            <w:r>
              <w:t>ертрофия небных миндалин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926D3">
            <w:pPr>
              <w:widowControl w:val="0"/>
              <w:spacing w:before="120"/>
              <w:ind w:firstLine="567"/>
              <w:jc w:val="both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926D3">
            <w:pPr>
              <w:widowControl w:val="0"/>
              <w:spacing w:before="120"/>
              <w:ind w:firstLine="567"/>
              <w:jc w:val="both"/>
            </w:pPr>
            <w:r>
              <w:t>5,4</w:t>
            </w:r>
          </w:p>
        </w:tc>
      </w:tr>
      <w:tr w:rsidR="00000000">
        <w:trPr>
          <w:trHeight w:val="34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spacing w:before="120"/>
              <w:ind w:firstLine="567"/>
              <w:jc w:val="both"/>
            </w:pPr>
            <w:r>
              <w:t>Субфебрилитет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spacing w:before="120"/>
              <w:ind w:firstLine="567"/>
              <w:jc w:val="both"/>
            </w:pPr>
            <w: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7926D3">
            <w:pPr>
              <w:widowControl w:val="0"/>
              <w:spacing w:before="120"/>
              <w:ind w:firstLine="567"/>
              <w:jc w:val="both"/>
            </w:pPr>
            <w:r>
              <w:t>0,6</w:t>
            </w:r>
          </w:p>
        </w:tc>
      </w:tr>
    </w:tbl>
    <w:p w:rsidR="00000000" w:rsidRDefault="005C2776">
      <w:pPr>
        <w:widowControl w:val="0"/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3419475" cy="2933700"/>
            <wp:effectExtent l="0" t="0" r="0" b="0"/>
            <wp:docPr id="2" name="Рисунок 2" descr="D:\ref\скачанное\medicinform6\htrez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f\скачанное\medicinform6\htrezs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926D3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000000" w:rsidRDefault="007926D3">
      <w:pPr>
        <w:widowControl w:val="0"/>
        <w:spacing w:before="120"/>
        <w:ind w:firstLine="567"/>
        <w:jc w:val="both"/>
      </w:pPr>
      <w:r>
        <w:t>Копченкова Наталья Андреевна. Лечение ультразвуковым фонофорезом.</w:t>
      </w:r>
    </w:p>
    <w:p w:rsidR="007926D3" w:rsidRDefault="007926D3">
      <w:pPr>
        <w:widowControl w:val="0"/>
        <w:spacing w:before="120"/>
        <w:ind w:firstLine="567"/>
        <w:jc w:val="both"/>
      </w:pPr>
    </w:p>
    <w:sectPr w:rsidR="007926D3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2A67"/>
    <w:multiLevelType w:val="hybridMultilevel"/>
    <w:tmpl w:val="B578461A"/>
    <w:lvl w:ilvl="0" w:tplc="A85C4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A86FD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56C7E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0AA87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6FAFB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24C7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F0205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DD0D0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E7EE8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BE967A1"/>
    <w:multiLevelType w:val="hybridMultilevel"/>
    <w:tmpl w:val="C57A794A"/>
    <w:lvl w:ilvl="0" w:tplc="AEB86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0F7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EE829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51CB6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EA42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26A79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8C2E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E08A1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94E3B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30446F98"/>
    <w:multiLevelType w:val="hybridMultilevel"/>
    <w:tmpl w:val="D1426674"/>
    <w:lvl w:ilvl="0" w:tplc="E6003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996CF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0B630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E3691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D6850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7B4F1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E639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69EF2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E3413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5BC44467"/>
    <w:multiLevelType w:val="hybridMultilevel"/>
    <w:tmpl w:val="DD1E4ECA"/>
    <w:lvl w:ilvl="0" w:tplc="102AA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C88B9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440D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180A5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FA237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6FAD2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EA6AD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BB21F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9062C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61862307"/>
    <w:multiLevelType w:val="hybridMultilevel"/>
    <w:tmpl w:val="FFF03BCA"/>
    <w:lvl w:ilvl="0" w:tplc="3A506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BD014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1F6B2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ED4C6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07C9B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F0C2B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8AA04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58ECC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E147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638358BE"/>
    <w:multiLevelType w:val="hybridMultilevel"/>
    <w:tmpl w:val="6EF8C212"/>
    <w:lvl w:ilvl="0" w:tplc="B51ED3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05231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3FA75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72692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B5CB5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C2E3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28464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DA2A2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A4C5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72F5611C"/>
    <w:multiLevelType w:val="hybridMultilevel"/>
    <w:tmpl w:val="55061994"/>
    <w:lvl w:ilvl="0" w:tplc="97787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7524B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D3C56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31A5C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7D435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934D8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EE16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91AF4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3A76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71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76"/>
    <w:rsid w:val="005C2776"/>
    <w:rsid w:val="0079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53737C-6AFD-45FB-A403-3ED9B6A4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auto"/>
      <w:u w:val="single"/>
    </w:rPr>
  </w:style>
  <w:style w:type="character" w:styleId="a4">
    <w:name w:val="FollowedHyperlink"/>
    <w:basedOn w:val="a0"/>
    <w:uiPriority w:val="99"/>
    <w:rPr>
      <w:color w:val="auto"/>
      <w:u w:val="single"/>
    </w:rPr>
  </w:style>
  <w:style w:type="paragraph" w:customStyle="1" w:styleId="txt">
    <w:name w:val="txt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0"/>
      <w:szCs w:val="20"/>
    </w:rPr>
  </w:style>
  <w:style w:type="paragraph" w:customStyle="1" w:styleId="txtj">
    <w:name w:val="txtj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character" w:customStyle="1" w:styleId="txt1">
    <w:name w:val="txt1"/>
    <w:basedOn w:val="a0"/>
    <w:uiPriority w:val="99"/>
    <w:rPr>
      <w:rFonts w:ascii="Verdana" w:hAnsi="Verdana" w:cs="Verdana"/>
      <w:color w:val="000000"/>
      <w:sz w:val="20"/>
      <w:szCs w:val="20"/>
      <w:u w:val="none"/>
      <w:effect w:val="non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hAnsi="Arial" w:cs="Arial"/>
      <w:vanish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1402</Words>
  <Characters>7994</Characters>
  <Application>Microsoft Office Word</Application>
  <DocSecurity>0</DocSecurity>
  <Lines>66</Lines>
  <Paragraphs>18</Paragraphs>
  <ScaleCrop>false</ScaleCrop>
  <Company>PERSONAL COMPUTERS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лор - отоларинголог - ухо-горло-нос, популярно и научно о лор</dc:title>
  <dc:subject/>
  <dc:creator>USER</dc:creator>
  <cp:keywords/>
  <dc:description/>
  <cp:lastModifiedBy>Igor Trofimov</cp:lastModifiedBy>
  <cp:revision>2</cp:revision>
  <dcterms:created xsi:type="dcterms:W3CDTF">2024-07-25T22:50:00Z</dcterms:created>
  <dcterms:modified xsi:type="dcterms:W3CDTF">2024-07-25T22:50:00Z</dcterms:modified>
</cp:coreProperties>
</file>