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B5A5" w14:textId="77777777" w:rsidR="00FA720F" w:rsidRDefault="005F24A0">
      <w:pPr>
        <w:pStyle w:val="2"/>
        <w:rPr>
          <w:rFonts w:ascii="arvoregular, Arial, Helvetica, " w:hAnsi="arvoregular, Arial, Helvetica, " w:hint="eastAsia"/>
          <w:b w:val="0"/>
          <w:color w:val="C02424"/>
          <w:sz w:val="42"/>
        </w:rPr>
      </w:pPr>
      <w:r>
        <w:rPr>
          <w:rFonts w:ascii="arvoregular, Arial, Helvetica, " w:hAnsi="arvoregular, Arial, Helvetica, "/>
          <w:b w:val="0"/>
          <w:color w:val="C02424"/>
          <w:sz w:val="42"/>
        </w:rPr>
        <w:t>Лямблиоз: лабораторная диагностика, лечение, профилактика (факультативно). Для студентов на дистанционном обучении обязательно.</w:t>
      </w:r>
    </w:p>
    <w:p w14:paraId="7B4927BF" w14:textId="77777777" w:rsidR="00FA720F" w:rsidRDefault="005F24A0">
      <w:pPr>
        <w:pStyle w:val="3"/>
        <w:spacing w:before="0" w:after="140" w:line="288" w:lineRule="auto"/>
        <w:rPr>
          <w:rFonts w:ascii="arvoregular, Arial, Helvetica, " w:hAnsi="arvoregular, Arial, Helvetica, " w:hint="eastAsia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диагностика лямблиоза</w:t>
      </w:r>
    </w:p>
    <w:p w14:paraId="4086BC0E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1.  ОАК: изменения могут отсутствовать, а также могут наблюдаться </w:t>
      </w:r>
      <w:r>
        <w:rPr>
          <w:rFonts w:ascii="apple-system, BlinkMacSystemFon" w:hAnsi="apple-system, BlinkMacSystemFon"/>
          <w:color w:val="373A3C"/>
          <w:sz w:val="22"/>
        </w:rPr>
        <w:t>моноцитопения, эозинофилия (до 5-8%), анемия (при тяжелом и длительном течении болезни), СОЭ увеличена до 20—25 мм/ч.</w:t>
      </w:r>
    </w:p>
    <w:p w14:paraId="0BE9393C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2.  Биохимический анализ крови: повышение содержания гамма-глобулинов, снижение содержания альбуминов, изменение показателей осадочных про</w:t>
      </w:r>
      <w:r>
        <w:rPr>
          <w:rFonts w:ascii="apple-system, BlinkMacSystemFon" w:hAnsi="apple-system, BlinkMacSystemFon"/>
          <w:color w:val="373A3C"/>
          <w:sz w:val="22"/>
        </w:rPr>
        <w:t>б.</w:t>
      </w:r>
    </w:p>
    <w:p w14:paraId="0D45659A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3. Микроскопическое исследование мазка фекалий: </w:t>
      </w:r>
    </w:p>
    <w:p w14:paraId="3A577E44" w14:textId="77777777" w:rsidR="00FA720F" w:rsidRDefault="005F24A0">
      <w:pPr>
        <w:pStyle w:val="Textbody"/>
        <w:rPr>
          <w:rFonts w:hint="eastAsia"/>
          <w:color w:val="373A3C"/>
        </w:rPr>
      </w:pPr>
      <w:r>
        <w:rPr>
          <w:color w:val="373A3C"/>
        </w:rPr>
        <w:t> </w:t>
      </w:r>
      <w:r>
        <w:rPr>
          <w:rFonts w:ascii="apple-system, BlinkMacSystemFon" w:hAnsi="apple-system, BlinkMacSystemFon"/>
          <w:color w:val="373A3C"/>
          <w:sz w:val="22"/>
        </w:rPr>
        <w:t>В жидком кале – обнаружение вегетативных форм (трофозоитов) Lamblia intestinalis (время исследования — 1-2 ч при условии хранения при +3-15°С)</w:t>
      </w:r>
    </w:p>
    <w:p w14:paraId="4993CED2" w14:textId="77777777" w:rsidR="00FA720F" w:rsidRDefault="005F24A0">
      <w:pPr>
        <w:pStyle w:val="Textbody"/>
        <w:rPr>
          <w:rFonts w:hint="eastAsia"/>
          <w:color w:val="373A3C"/>
        </w:rPr>
      </w:pPr>
      <w:r>
        <w:rPr>
          <w:color w:val="373A3C"/>
        </w:rPr>
        <w:t> </w:t>
      </w:r>
      <w:r>
        <w:rPr>
          <w:rFonts w:ascii="apple-system, BlinkMacSystemFon" w:hAnsi="apple-system, BlinkMacSystemFon"/>
          <w:color w:val="373A3C"/>
          <w:sz w:val="22"/>
        </w:rPr>
        <w:t>В   оформленном кале (время исследования не ограничено) –</w:t>
      </w:r>
      <w:r>
        <w:rPr>
          <w:rFonts w:ascii="apple-system, BlinkMacSystemFon" w:hAnsi="apple-system, BlinkMacSystemFon"/>
          <w:color w:val="373A3C"/>
          <w:sz w:val="22"/>
        </w:rPr>
        <w:t xml:space="preserve"> обнаружение цист Lamblia intestinalis </w:t>
      </w:r>
    </w:p>
    <w:p w14:paraId="46721924" w14:textId="77777777" w:rsidR="00FA720F" w:rsidRDefault="005F24A0">
      <w:pPr>
        <w:pStyle w:val="Textbody"/>
        <w:rPr>
          <w:rFonts w:hint="eastAsia"/>
          <w:color w:val="373A3C"/>
        </w:rPr>
      </w:pPr>
      <w:r>
        <w:rPr>
          <w:color w:val="373A3C"/>
        </w:rPr>
        <w:t> </w:t>
      </w:r>
      <w:r>
        <w:rPr>
          <w:rFonts w:ascii="apple-system, BlinkMacSystemFon" w:hAnsi="apple-system, BlinkMacSystemFon"/>
          <w:color w:val="373A3C"/>
          <w:sz w:val="22"/>
        </w:rPr>
        <w:t>Кал исследуется в теплом виде </w:t>
      </w:r>
    </w:p>
    <w:p w14:paraId="223B6587" w14:textId="77777777" w:rsidR="00FA720F" w:rsidRDefault="005F24A0">
      <w:pPr>
        <w:pStyle w:val="Textbody"/>
        <w:rPr>
          <w:rFonts w:hint="eastAsia"/>
          <w:color w:val="373A3C"/>
        </w:rPr>
      </w:pPr>
      <w:r>
        <w:rPr>
          <w:color w:val="373A3C"/>
        </w:rPr>
        <w:t> </w:t>
      </w:r>
      <w:r>
        <w:rPr>
          <w:rFonts w:ascii="apple-system, BlinkMacSystemFon" w:hAnsi="apple-system, BlinkMacSystemFon"/>
          <w:color w:val="373A3C"/>
          <w:sz w:val="22"/>
        </w:rPr>
        <w:t>Рекомендуется проводить исследования испражнений 5-6 раз на протяжении 2-4 недель (с интервалом в 2–3 дня)</w:t>
      </w:r>
    </w:p>
    <w:p w14:paraId="5BB2B1A6" w14:textId="77777777" w:rsidR="00FA720F" w:rsidRDefault="005F24A0">
      <w:pPr>
        <w:pStyle w:val="Textbody"/>
        <w:rPr>
          <w:rFonts w:hint="eastAsia"/>
          <w:color w:val="373A3C"/>
        </w:rPr>
      </w:pPr>
      <w:r>
        <w:rPr>
          <w:color w:val="373A3C"/>
        </w:rPr>
        <w:t> </w:t>
      </w:r>
      <w:r>
        <w:rPr>
          <w:rFonts w:ascii="apple-system, BlinkMacSystemFon" w:hAnsi="apple-system, BlinkMacSystemFon"/>
          <w:color w:val="373A3C"/>
          <w:sz w:val="22"/>
        </w:rPr>
        <w:t>В настоящее время наиболее доступным, информативным и максимально эффект</w:t>
      </w:r>
      <w:r>
        <w:rPr>
          <w:rFonts w:ascii="apple-system, BlinkMacSystemFon" w:hAnsi="apple-system, BlinkMacSystemFon"/>
          <w:color w:val="373A3C"/>
          <w:sz w:val="22"/>
        </w:rPr>
        <w:t>ивным является исследование проб фекалий методом обогащения с реактивами Берроуза, Турдыева или Сафаралиева — «золотой стандарт» диагностики. Чувствительность этого метода при трехкратных исследованиях составляет 76-90%. В большинстве случаев цисты лямблий</w:t>
      </w:r>
      <w:r>
        <w:rPr>
          <w:rFonts w:ascii="apple-system, BlinkMacSystemFon" w:hAnsi="apple-system, BlinkMacSystemFon"/>
          <w:color w:val="373A3C"/>
          <w:sz w:val="22"/>
        </w:rPr>
        <w:t xml:space="preserve"> обнаруживают уже при первом исследовании. У 10-15% пациентов инвазия не диагностируется или выявляется после многократных исследований проб фекалий, что можно объяснить большими перерывами в выделении цист (от нескольких дней до 2 нед) и небольшим их числ</w:t>
      </w:r>
      <w:r>
        <w:rPr>
          <w:rFonts w:ascii="apple-system, BlinkMacSystemFon" w:hAnsi="apple-system, BlinkMacSystemFon"/>
          <w:color w:val="373A3C"/>
          <w:sz w:val="22"/>
        </w:rPr>
        <w:t>ом </w:t>
      </w:r>
    </w:p>
    <w:p w14:paraId="715623B0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4.  Анализ кала: (иммуноферментный анализ, реакция непрямой иммунофлуоресценции, иммунохроматографический анализ)</w:t>
      </w:r>
    </w:p>
    <w:p w14:paraId="10A416D8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5. Серологический анализ крови: ИФА –  определение суммарных антител (IgM, IgA, IgG) к антигенам Lamblia intestinalis. Специфические IgM и</w:t>
      </w:r>
      <w:r>
        <w:rPr>
          <w:rFonts w:ascii="apple-system, BlinkMacSystemFon" w:hAnsi="apple-system, BlinkMacSystemFon"/>
          <w:color w:val="373A3C"/>
          <w:sz w:val="22"/>
        </w:rPr>
        <w:t xml:space="preserve"> IgG к антигенам лямблий обнаруживают в сыворотке крови с 10–14-го дня заболевания.</w:t>
      </w:r>
    </w:p>
    <w:p w14:paraId="020D1259" w14:textId="77777777" w:rsidR="00FA720F" w:rsidRDefault="005F24A0">
      <w:pPr>
        <w:pStyle w:val="Textbody"/>
        <w:rPr>
          <w:rFonts w:hint="eastAsia"/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b/>
          <w:color w:val="373A3C"/>
          <w:sz w:val="22"/>
        </w:rPr>
        <w:t>NB! Как отсутствие специфических иммуноглобулинов класса М, так и наличие специфических IgG не может быть прямым доказательством активности инвазии, поскольку антитела поя</w:t>
      </w:r>
      <w:r>
        <w:rPr>
          <w:rFonts w:ascii="apple-system, BlinkMacSystemFon" w:hAnsi="apple-system, BlinkMacSystemFon"/>
          <w:b/>
          <w:color w:val="373A3C"/>
          <w:sz w:val="22"/>
        </w:rPr>
        <w:t>вляются не сразу и определяются в течение нескольких месяцев (до 1,5 лет) после элиминации паразитов </w:t>
      </w:r>
    </w:p>
    <w:p w14:paraId="4A858472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6. Высокой специфичностью (до 89%) и чувствительностью (до 79%) обладают методы молекулярно-генетического анализа, позволяющие не только выявить </w:t>
      </w:r>
      <w:r>
        <w:rPr>
          <w:rFonts w:ascii="apple-system, BlinkMacSystemFon" w:hAnsi="apple-system, BlinkMacSystemFon"/>
          <w:color w:val="373A3C"/>
          <w:sz w:val="22"/>
        </w:rPr>
        <w:t>наличие ДНК лямблий в клиническом материале, но и определить их подтип (А или В)</w:t>
      </w:r>
    </w:p>
    <w:p w14:paraId="7F36F862" w14:textId="77777777" w:rsidR="00FA720F" w:rsidRDefault="005F24A0">
      <w:pPr>
        <w:pStyle w:val="Standard"/>
        <w:rPr>
          <w:rFonts w:hint="eastAsia"/>
        </w:rPr>
      </w:pPr>
      <w:r>
        <w:rPr>
          <w:rFonts w:ascii="apple-system, BlinkMacSystemFon" w:hAnsi="apple-system, BlinkMacSystemFon"/>
          <w:color w:val="373A3C"/>
          <w:sz w:val="22"/>
        </w:rPr>
        <w:lastRenderedPageBreak/>
        <w:t>7. Инструментальные исследования: дуоденальное зондирование – обнаружение большого количества слизи, вегетативных форм (трофозоитов) лямблий в дуоденальном содержимом (наиболе</w:t>
      </w:r>
      <w:r>
        <w:rPr>
          <w:rFonts w:ascii="apple-system, BlinkMacSystemFon" w:hAnsi="apple-system, BlinkMacSystemFon"/>
          <w:color w:val="373A3C"/>
          <w:sz w:val="22"/>
        </w:rPr>
        <w:t>е часто в порции А).</w:t>
      </w:r>
    </w:p>
    <w:p w14:paraId="7AE3B8D1" w14:textId="77777777" w:rsidR="00FA720F" w:rsidRDefault="00FA720F">
      <w:pPr>
        <w:pStyle w:val="Standard"/>
        <w:rPr>
          <w:rFonts w:hint="eastAsia"/>
        </w:rPr>
      </w:pPr>
    </w:p>
    <w:p w14:paraId="0D361574" w14:textId="77777777" w:rsidR="00FA720F" w:rsidRDefault="005F24A0">
      <w:pPr>
        <w:pStyle w:val="3"/>
        <w:rPr>
          <w:rFonts w:ascii="arvoregular, Arial, Helvetica, " w:hAnsi="arvoregular, Arial, Helvetica, " w:hint="eastAsia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Лечение</w:t>
      </w:r>
    </w:p>
    <w:p w14:paraId="6EE1A96D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Диета № 5, направленная на создание условий, ухудшающих размножение лямблий (ограничение углеводов и исключение молочных продуктов); введение продуктов, являющихся нутритивными сорбентами (каши, отруби, печеные яблоки, </w:t>
      </w:r>
      <w:r>
        <w:rPr>
          <w:rFonts w:ascii="apple-system, BlinkMacSystemFon" w:hAnsi="apple-system, BlinkMacSystemFon"/>
          <w:color w:val="373A3C"/>
          <w:sz w:val="22"/>
        </w:rPr>
        <w:t>груши, сухофрукты, растительное масло).</w:t>
      </w:r>
    </w:p>
    <w:p w14:paraId="622DB3D4" w14:textId="77777777" w:rsidR="00FA720F" w:rsidRDefault="005F24A0">
      <w:pPr>
        <w:pStyle w:val="3"/>
        <w:rPr>
          <w:rFonts w:ascii="arvoregular, Arial, Helvetica, " w:hAnsi="arvoregular, Arial, Helvetica, " w:hint="eastAsia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Этиотропная терапия</w:t>
      </w:r>
    </w:p>
    <w:p w14:paraId="0E58C853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Метронидазол</w:t>
      </w:r>
      <w:r>
        <w:rPr>
          <w:rFonts w:ascii="apple-system, BlinkMacSystemFon" w:hAnsi="apple-system, BlinkMacSystemFon"/>
          <w:color w:val="373A3C"/>
          <w:sz w:val="22"/>
        </w:rPr>
        <w:t> 15 мг/кг/сут  в 3 приема во время еды или после в течение 5-7-10 дней</w:t>
      </w:r>
    </w:p>
    <w:p w14:paraId="7F09D8BD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Орнидазол — 40 мг/кг однократно</w:t>
      </w:r>
    </w:p>
    <w:p w14:paraId="37CCBA87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Тинидазол — 50 мг/кг однократно в течение 2 сут</w:t>
      </w:r>
    </w:p>
    <w:p w14:paraId="441CAE3A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Албендазол</w:t>
      </w:r>
      <w:r>
        <w:rPr>
          <w:rFonts w:ascii="apple-system, BlinkMacSystemFon" w:hAnsi="apple-system, BlinkMacSystemFon"/>
          <w:color w:val="373A3C"/>
          <w:sz w:val="22"/>
        </w:rPr>
        <w:t>, мебендазол 15  мг/сут</w:t>
      </w:r>
      <w:r>
        <w:rPr>
          <w:rFonts w:ascii="apple-system, BlinkMacSystemFon" w:hAnsi="apple-system, BlinkMacSystemFon"/>
          <w:color w:val="373A3C"/>
          <w:sz w:val="22"/>
        </w:rPr>
        <w:t xml:space="preserve"> 1 р/день в течение 5-7 дней</w:t>
      </w:r>
    </w:p>
    <w:p w14:paraId="1B54B11A" w14:textId="77777777" w:rsidR="00FA720F" w:rsidRDefault="005F24A0">
      <w:pPr>
        <w:pStyle w:val="Textbody"/>
        <w:rPr>
          <w:rFonts w:ascii="Arial, sans-serif" w:hAnsi="Arial, sans-serif" w:hint="eastAsia"/>
          <w:color w:val="323232"/>
          <w:sz w:val="22"/>
        </w:rPr>
      </w:pPr>
      <w:r>
        <w:rPr>
          <w:rFonts w:ascii="Arial, sans-serif" w:hAnsi="Arial, sans-serif"/>
          <w:color w:val="323232"/>
          <w:sz w:val="22"/>
        </w:rPr>
        <w:t>Фуразолидон.     6 мг/ кг в сутки за четыре раза после приема пищи в течение 5-7-10 дней</w:t>
      </w:r>
    </w:p>
    <w:p w14:paraId="1B1AF79B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Нифурател  30 мг/кг в течение 7-10 дней</w:t>
      </w:r>
    </w:p>
    <w:p w14:paraId="7499C1E2" w14:textId="77777777" w:rsidR="00FA720F" w:rsidRDefault="005F24A0">
      <w:pPr>
        <w:pStyle w:val="Textbody"/>
        <w:rPr>
          <w:rFonts w:hint="eastAsia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NB</w:t>
      </w:r>
      <w:r>
        <w:rPr>
          <w:rFonts w:ascii="apple-system, BlinkMacSystemFon" w:hAnsi="apple-system, BlinkMacSystemFon"/>
          <w:b/>
          <w:color w:val="373A3C"/>
          <w:sz w:val="22"/>
        </w:rPr>
        <w:t>! </w:t>
      </w:r>
      <w:r>
        <w:rPr>
          <w:rFonts w:ascii="apple-system, BlinkMacSystemFon" w:hAnsi="apple-system, BlinkMacSystemFon"/>
          <w:i/>
          <w:color w:val="373A3C"/>
          <w:sz w:val="22"/>
        </w:rPr>
        <w:t xml:space="preserve">Эффективность противопаразитарных препаратов  достигала 85-95% (для фуразолидона — менее 80%, </w:t>
      </w:r>
      <w:r>
        <w:rPr>
          <w:rFonts w:ascii="apple-system, BlinkMacSystemFon" w:hAnsi="apple-system, BlinkMacSystemFon"/>
          <w:i/>
          <w:color w:val="373A3C"/>
          <w:sz w:val="22"/>
        </w:rPr>
        <w:t>достигая 20% при монотерапии) при достаточно высокой частоте развития нежелательных явлений: в 15% случаев — у производных нитроимидазола, в 10% — у фуразолидона, в 2% — у нифуратела.  Эффективность метронидазола в лечении </w:t>
      </w:r>
      <w:hyperlink r:id="rId7" w:history="1">
        <w:r>
          <w:rPr>
            <w:rFonts w:ascii="apple-system, BlinkMacSystemFon" w:hAnsi="apple-system, BlinkMacSystemFon"/>
            <w:i/>
            <w:color w:val="009FE5"/>
            <w:sz w:val="22"/>
          </w:rPr>
          <w:t>лямблиоз</w:t>
        </w:r>
      </w:hyperlink>
      <w:r>
        <w:rPr>
          <w:rFonts w:ascii="apple-system, BlinkMacSystemFon" w:hAnsi="apple-system, BlinkMacSystemFon"/>
          <w:i/>
          <w:color w:val="373A3C"/>
          <w:sz w:val="22"/>
        </w:rPr>
        <w:t>а у детей составила 56% (побочные эффекты зарегистрированы у 8,8%), а нифуратела и альбендазола — 50% (частота развития нежелательных явлений — менее 3%).</w:t>
      </w:r>
    </w:p>
    <w:p w14:paraId="49AFED5E" w14:textId="77777777" w:rsidR="00FA720F" w:rsidRDefault="00FA720F">
      <w:pPr>
        <w:pStyle w:val="Standard"/>
        <w:rPr>
          <w:rFonts w:hint="eastAsia"/>
        </w:rPr>
      </w:pPr>
    </w:p>
    <w:p w14:paraId="7D320922" w14:textId="77777777" w:rsidR="00FA720F" w:rsidRDefault="00FA720F">
      <w:pPr>
        <w:pStyle w:val="Standard"/>
        <w:rPr>
          <w:rFonts w:hint="eastAsia"/>
        </w:rPr>
      </w:pPr>
    </w:p>
    <w:p w14:paraId="03956354" w14:textId="77777777" w:rsidR="00FA720F" w:rsidRDefault="00FA720F">
      <w:pPr>
        <w:pStyle w:val="Standard"/>
        <w:rPr>
          <w:rFonts w:hint="eastAsia"/>
        </w:rPr>
      </w:pPr>
    </w:p>
    <w:p w14:paraId="1510384D" w14:textId="77777777" w:rsidR="00FA720F" w:rsidRDefault="00FA720F">
      <w:pPr>
        <w:pStyle w:val="Standard"/>
        <w:rPr>
          <w:rFonts w:hint="eastAsia"/>
        </w:rPr>
      </w:pPr>
    </w:p>
    <w:p w14:paraId="2A4CB0F3" w14:textId="77777777" w:rsidR="00FA720F" w:rsidRDefault="005F24A0">
      <w:pPr>
        <w:pStyle w:val="3"/>
        <w:rPr>
          <w:rFonts w:ascii="arvoregular, Arial, Helvetica, " w:hAnsi="arvoregular, Arial, Helvetica, " w:hint="eastAsia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Индикаторы эффективности лечения</w:t>
      </w:r>
    </w:p>
    <w:p w14:paraId="5B2D1EFC" w14:textId="77777777" w:rsidR="00FA720F" w:rsidRDefault="005F24A0">
      <w:pPr>
        <w:pStyle w:val="Textbody"/>
        <w:numPr>
          <w:ilvl w:val="0"/>
          <w:numId w:val="1"/>
        </w:numPr>
        <w:ind w:left="0" w:firstLine="0"/>
        <w:rPr>
          <w:rFonts w:hint="eastAsia"/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 xml:space="preserve">3 </w:t>
      </w:r>
      <w:r>
        <w:rPr>
          <w:rFonts w:ascii="apple-system, BlinkMacSystemFon" w:hAnsi="apple-system, BlinkMacSystemFon"/>
          <w:color w:val="373A3C"/>
          <w:sz w:val="22"/>
        </w:rPr>
        <w:t>отрицательных анализа кала (копроцитограмма), проведенного с интервалом в 2-3 дня</w:t>
      </w:r>
    </w:p>
    <w:p w14:paraId="6D0A990A" w14:textId="77777777" w:rsidR="00FA720F" w:rsidRDefault="005F24A0">
      <w:pPr>
        <w:pStyle w:val="Textbody"/>
        <w:numPr>
          <w:ilvl w:val="0"/>
          <w:numId w:val="1"/>
        </w:numPr>
        <w:rPr>
          <w:rFonts w:hint="eastAsia"/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контроль  эффективности через 10-14 дней после завершения терапии</w:t>
      </w:r>
    </w:p>
    <w:p w14:paraId="4A9DF943" w14:textId="77777777" w:rsidR="00FA720F" w:rsidRDefault="005F24A0">
      <w:pPr>
        <w:pStyle w:val="3"/>
        <w:rPr>
          <w:rFonts w:ascii="arvoregular, Arial, Helvetica, " w:hAnsi="arvoregular, Arial, Helvetica, " w:hint="eastAsia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Противоэпидемические мероприятия</w:t>
      </w:r>
    </w:p>
    <w:p w14:paraId="29705715" w14:textId="77777777" w:rsidR="00FA720F" w:rsidRDefault="005F24A0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выявление больных и/или паразитоносителей (лабораторное исследование коп</w:t>
      </w:r>
      <w:r>
        <w:rPr>
          <w:rFonts w:ascii="apple-system, BlinkMacSystemFon" w:hAnsi="apple-system, BlinkMacSystemFon"/>
          <w:color w:val="373A3C"/>
          <w:sz w:val="22"/>
        </w:rPr>
        <w:t>роматериала от лиц с высоким риском заражения, больных с острыми кишечными инфекциями неустановленной этиологии, дисбиозами кишечника);</w:t>
      </w:r>
    </w:p>
    <w:p w14:paraId="55C98F01" w14:textId="77777777" w:rsidR="00FA720F" w:rsidRDefault="005F24A0">
      <w:pPr>
        <w:pStyle w:val="Textbody"/>
        <w:rPr>
          <w:rFonts w:hint="eastAsia"/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- направление экстренного извещения о выявленном случае кишечного протозооза в территориальное управление Роспотребнадз</w:t>
      </w:r>
      <w:r>
        <w:rPr>
          <w:rFonts w:ascii="apple-system, BlinkMacSystemFon" w:hAnsi="apple-system, BlinkMacSystemFon"/>
          <w:color w:val="373A3C"/>
          <w:sz w:val="22"/>
        </w:rPr>
        <w:t>ора;</w:t>
      </w:r>
    </w:p>
    <w:p w14:paraId="307FF30E" w14:textId="77777777" w:rsidR="00FA720F" w:rsidRDefault="005F24A0">
      <w:pPr>
        <w:pStyle w:val="Textbody"/>
        <w:rPr>
          <w:rFonts w:hint="eastAsia"/>
          <w:color w:val="373A3C"/>
        </w:rPr>
      </w:pPr>
      <w:r>
        <w:rPr>
          <w:color w:val="373A3C"/>
        </w:rPr>
        <w:lastRenderedPageBreak/>
        <w:t> </w:t>
      </w:r>
      <w:r>
        <w:rPr>
          <w:rFonts w:ascii="apple-system, BlinkMacSystemFon" w:hAnsi="apple-system, BlinkMacSystemFon"/>
          <w:color w:val="373A3C"/>
          <w:sz w:val="22"/>
        </w:rPr>
        <w:t>- эпидемиологическое обследование очага при выявлении случаев кишечных протозоозов;</w:t>
      </w:r>
    </w:p>
    <w:p w14:paraId="379C23D2" w14:textId="77777777" w:rsidR="00FA720F" w:rsidRDefault="005F24A0">
      <w:pPr>
        <w:pStyle w:val="Textbody"/>
        <w:rPr>
          <w:rFonts w:hint="eastAsia"/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 xml:space="preserve">- лечение больных кишечными протозоозами с контролем его эффективности через 10-14 дней. Критерием эффективности являются два отрицательных результата лабораторного </w:t>
      </w:r>
      <w:r>
        <w:rPr>
          <w:rFonts w:ascii="apple-system, BlinkMacSystemFon" w:hAnsi="apple-system, BlinkMacSystemFon"/>
          <w:color w:val="373A3C"/>
          <w:sz w:val="22"/>
        </w:rPr>
        <w:t>исследования, проведенного с интервалом в 2-3 дня;</w:t>
      </w:r>
    </w:p>
    <w:p w14:paraId="7C1710EB" w14:textId="77777777" w:rsidR="00FA720F" w:rsidRDefault="005F24A0">
      <w:pPr>
        <w:pStyle w:val="Textbody"/>
        <w:rPr>
          <w:rFonts w:hint="eastAsia"/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- установление диагноза носительства возбудителей кишечных протозоозов у лиц, относящихся к декретированным группам населения. При их согласии руководители организаций и индивидуальные предприниматели вре</w:t>
      </w:r>
      <w:r>
        <w:rPr>
          <w:rFonts w:ascii="apple-system, BlinkMacSystemFon" w:hAnsi="apple-system, BlinkMacSystemFon"/>
          <w:color w:val="373A3C"/>
          <w:sz w:val="22"/>
        </w:rPr>
        <w:t>менно на период лечения и контрольных обследований после лечения переводят на другую работу. При невозможности перевода, временно на период лечения и обследования их отстраняют от работы с выплатой пособий по социальному страхованию в соответствии с законо</w:t>
      </w:r>
      <w:r>
        <w:rPr>
          <w:rFonts w:ascii="apple-system, BlinkMacSystemFon" w:hAnsi="apple-system, BlinkMacSystemFon"/>
          <w:color w:val="373A3C"/>
          <w:sz w:val="22"/>
        </w:rPr>
        <w:t>дательством Российской Федерации</w:t>
      </w:r>
    </w:p>
    <w:p w14:paraId="1BF0FB36" w14:textId="77777777" w:rsidR="00FA720F" w:rsidRDefault="00FA720F">
      <w:pPr>
        <w:pStyle w:val="Standard"/>
        <w:rPr>
          <w:rFonts w:hint="eastAsia"/>
        </w:rPr>
      </w:pPr>
    </w:p>
    <w:sectPr w:rsidR="00FA720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C9F0" w14:textId="77777777" w:rsidR="005F24A0" w:rsidRDefault="005F24A0">
      <w:pPr>
        <w:rPr>
          <w:rFonts w:hint="eastAsia"/>
        </w:rPr>
      </w:pPr>
      <w:r>
        <w:separator/>
      </w:r>
    </w:p>
  </w:endnote>
  <w:endnote w:type="continuationSeparator" w:id="0">
    <w:p w14:paraId="699FDF85" w14:textId="77777777" w:rsidR="005F24A0" w:rsidRDefault="005F24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voregular, Arial, Helvetica, ">
    <w:altName w:val="Calibri"/>
    <w:charset w:val="00"/>
    <w:family w:val="auto"/>
    <w:pitch w:val="default"/>
  </w:font>
  <w:font w:name="apple-system, BlinkMacSystemFon">
    <w:altName w:val="Calibri"/>
    <w:charset w:val="00"/>
    <w:family w:val="auto"/>
    <w:pitch w:val="default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51B8" w14:textId="77777777" w:rsidR="005F24A0" w:rsidRDefault="005F24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6E6811" w14:textId="77777777" w:rsidR="005F24A0" w:rsidRDefault="005F24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10EC"/>
    <w:multiLevelType w:val="multilevel"/>
    <w:tmpl w:val="C60EB60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720F"/>
    <w:rsid w:val="0052494E"/>
    <w:rsid w:val="005F24A0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AD43"/>
  <w15:docId w15:val="{6B1EE3DF-9630-439F-9ED0-43C782A3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nsmu.ru/mod/scorm/view.php?id=43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2024-10-10T19:16:00Z</dcterms:created>
  <dcterms:modified xsi:type="dcterms:W3CDTF">2024-10-10T19:16:00Z</dcterms:modified>
</cp:coreProperties>
</file>