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Министерство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образования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науки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Российской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Федерации</w:t>
      </w: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Томский</w:t>
      </w:r>
      <w:r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университет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РЕФЕРАТ</w:t>
      </w:r>
    </w:p>
    <w:p w:rsidR="00806EF5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тему</w:t>
      </w:r>
      <w:r w:rsidR="00806EF5" w:rsidRPr="00806EF5">
        <w:rPr>
          <w:sz w:val="28"/>
          <w:szCs w:val="28"/>
        </w:rPr>
        <w:t>: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Место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лечебной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физкультуры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заболевании</w:t>
      </w:r>
      <w:r w:rsidR="00806EF5">
        <w:rPr>
          <w:sz w:val="28"/>
          <w:szCs w:val="28"/>
        </w:rPr>
        <w:t xml:space="preserve"> </w:t>
      </w:r>
      <w:r w:rsidR="00806EF5" w:rsidRPr="00806EF5">
        <w:rPr>
          <w:sz w:val="28"/>
          <w:szCs w:val="28"/>
        </w:rPr>
        <w:t>а</w:t>
      </w:r>
      <w:r w:rsidRPr="00806EF5">
        <w:rPr>
          <w:sz w:val="28"/>
          <w:szCs w:val="28"/>
        </w:rPr>
        <w:t>утоимунным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гепатитом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806EF5">
        <w:rPr>
          <w:sz w:val="28"/>
          <w:szCs w:val="28"/>
        </w:rPr>
        <w:t>Выполнил</w:t>
      </w:r>
      <w:r w:rsidR="00806EF5" w:rsidRPr="00806EF5">
        <w:rPr>
          <w:sz w:val="28"/>
          <w:szCs w:val="28"/>
        </w:rPr>
        <w:t>а</w:t>
      </w:r>
      <w:r w:rsidR="00806EF5">
        <w:rPr>
          <w:sz w:val="28"/>
          <w:szCs w:val="28"/>
        </w:rPr>
        <w:t xml:space="preserve"> </w:t>
      </w:r>
      <w:r w:rsidR="00806EF5" w:rsidRPr="00806EF5">
        <w:rPr>
          <w:sz w:val="28"/>
          <w:szCs w:val="28"/>
        </w:rPr>
        <w:t>студентка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806EF5">
        <w:rPr>
          <w:sz w:val="28"/>
          <w:szCs w:val="28"/>
        </w:rPr>
        <w:t>В.Н.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Кудрявцева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06EF5" w:rsidRPr="00806EF5" w:rsidRDefault="00806EF5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806EF5">
        <w:rPr>
          <w:sz w:val="28"/>
          <w:szCs w:val="28"/>
        </w:rPr>
        <w:t>Томск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2012</w:t>
      </w:r>
    </w:p>
    <w:p w:rsidR="00806EF5" w:rsidRPr="00806EF5" w:rsidRDefault="00806EF5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r w:rsidRPr="00806EF5">
        <w:rPr>
          <w:sz w:val="28"/>
          <w:szCs w:val="28"/>
        </w:rPr>
        <w:br w:type="page"/>
      </w:r>
    </w:p>
    <w:p w:rsidR="00194691" w:rsidRPr="00806EF5" w:rsidRDefault="00194691" w:rsidP="00806EF5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806EF5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Содержание</w:t>
      </w:r>
      <w:r w:rsidR="00806EF5" w:rsidRPr="00806EF5">
        <w:rPr>
          <w:rFonts w:ascii="Times New Roman" w:hAnsi="Times New Roman"/>
          <w:b w:val="0"/>
          <w:color w:val="auto"/>
          <w:sz w:val="28"/>
          <w:szCs w:val="28"/>
          <w:lang w:val="ru-RU"/>
        </w:rPr>
        <w:t>:</w:t>
      </w:r>
    </w:p>
    <w:p w:rsidR="00194691" w:rsidRPr="00806EF5" w:rsidRDefault="00194691" w:rsidP="00806EF5">
      <w:pPr>
        <w:widowControl w:val="0"/>
        <w:tabs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Понятие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его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диагностика</w:t>
      </w:r>
    </w:p>
    <w:p w:rsidR="00194691" w:rsidRPr="00806EF5" w:rsidRDefault="00194691" w:rsidP="00806EF5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Диагностика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</w:t>
      </w:r>
    </w:p>
    <w:p w:rsidR="00194691" w:rsidRPr="00806EF5" w:rsidRDefault="00194691" w:rsidP="00806EF5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Лечение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</w:t>
      </w:r>
    </w:p>
    <w:p w:rsidR="00194691" w:rsidRPr="00806EF5" w:rsidRDefault="00194691" w:rsidP="00806EF5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Физические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упражнения</w:t>
      </w:r>
    </w:p>
    <w:p w:rsidR="00194691" w:rsidRPr="00806EF5" w:rsidRDefault="00194691" w:rsidP="00806EF5">
      <w:pPr>
        <w:widowControl w:val="0"/>
        <w:tabs>
          <w:tab w:val="left" w:pos="180"/>
          <w:tab w:val="left" w:pos="360"/>
          <w:tab w:val="left" w:pos="900"/>
          <w:tab w:val="left" w:pos="993"/>
          <w:tab w:val="left" w:pos="10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Список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литературы</w:t>
      </w:r>
    </w:p>
    <w:p w:rsidR="00194691" w:rsidRPr="00806EF5" w:rsidRDefault="00194691" w:rsidP="00806EF5">
      <w:pPr>
        <w:widowControl w:val="0"/>
        <w:tabs>
          <w:tab w:val="left" w:pos="720"/>
          <w:tab w:val="left" w:pos="900"/>
          <w:tab w:val="left" w:pos="993"/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6EF5" w:rsidRDefault="00806E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691" w:rsidRPr="00806EF5" w:rsidRDefault="00194691" w:rsidP="00806EF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3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Понятие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его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диагностика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Аутоиммунный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является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которое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возникает,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когда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организма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атакует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клетки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Аутоиммунный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гепатит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–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природы,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есть,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связанное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таким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нарушением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иммунитета,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котором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возникает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агрессия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собственные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ткани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  <w:bdr w:val="none" w:sz="0" w:space="0" w:color="auto" w:frame="1"/>
        </w:rPr>
        <w:t>Это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  <w:bdr w:val="none" w:sz="0" w:space="0" w:color="auto" w:frame="1"/>
        </w:rPr>
        <w:t>-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6EF5">
        <w:rPr>
          <w:rFonts w:ascii="Times New Roman"/>
          <w:sz w:val="28"/>
          <w:szCs w:val="28"/>
        </w:rPr>
        <w:t>хронический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воспалительный</w:t>
      </w:r>
      <w:r w:rsidR="00806EF5">
        <w:rPr>
          <w:rFonts w:ascii="Times New Roman"/>
          <w:sz w:val="28"/>
          <w:szCs w:val="28"/>
        </w:rPr>
        <w:t xml:space="preserve"> процесс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неизвестной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природы,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характеризующийся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перипортальным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обширным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воспалением,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наличием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тканевых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аутоантител.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преимущественно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встречается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женщин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молодого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возраста.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Женщины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8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чаще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мужчин.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06EF5">
        <w:rPr>
          <w:iCs/>
          <w:sz w:val="28"/>
          <w:szCs w:val="28"/>
        </w:rPr>
        <w:t>Причины</w:t>
      </w:r>
      <w:r w:rsidR="00806EF5">
        <w:rPr>
          <w:iCs/>
          <w:sz w:val="28"/>
          <w:szCs w:val="28"/>
        </w:rPr>
        <w:t xml:space="preserve"> </w:t>
      </w:r>
      <w:r w:rsidRPr="00806EF5">
        <w:rPr>
          <w:iCs/>
          <w:sz w:val="28"/>
          <w:szCs w:val="28"/>
        </w:rPr>
        <w:t>развития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Точная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причина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установлена.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Аутоиммунный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гепатит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связан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рядом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антигенов,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участвующих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процессах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иммунорегуляции,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так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называемого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главного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комплекса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гистосовместимости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(МНС;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HLA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человека).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Имунный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сбой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аутоиммунном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гепатите,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приводящий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поражению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ткани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иногда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других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органов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систем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(щитовидной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железы,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кишечника,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поджелудочной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железы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др.)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может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реализоваться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посредством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дополнительных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инициирующих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условий</w:t>
      </w:r>
      <w:r w:rsidR="00806EF5">
        <w:rPr>
          <w:sz w:val="28"/>
          <w:szCs w:val="28"/>
        </w:rPr>
        <w:t xml:space="preserve"> </w:t>
      </w:r>
      <w:r w:rsidRPr="00806EF5">
        <w:rPr>
          <w:rStyle w:val="af2"/>
          <w:rFonts w:eastAsia="Times New Roman"/>
          <w:sz w:val="28"/>
          <w:szCs w:val="28"/>
        </w:rPr>
        <w:footnoteReference w:id="1"/>
      </w:r>
      <w:r w:rsidRPr="00806EF5">
        <w:rPr>
          <w:sz w:val="28"/>
          <w:szCs w:val="28"/>
        </w:rPr>
        <w:t>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Так,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могут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играть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дополнительные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факторы,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провоцирующих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начало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аутоиммунного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процесса,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среди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которых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отмечены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вирусы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гепатита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герпеса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(HHV-6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HSV-1),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Эпштейна-Барра,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реактивные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метаболиты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лекарственных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препаратов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др.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Сущность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процесса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сводится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дефициту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иммунорегуляции.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крови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тканях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появляются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антиядерные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антитела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гладким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мышцам,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специфическому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липопротеиду</w:t>
      </w:r>
      <w:r w:rsidRPr="00806EF5">
        <w:rPr>
          <w:rStyle w:val="af2"/>
          <w:rFonts w:eastAsia="Times New Roman"/>
          <w:sz w:val="28"/>
          <w:szCs w:val="28"/>
        </w:rPr>
        <w:footnoteReference w:id="2"/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печени.</w:t>
      </w:r>
    </w:p>
    <w:p w:rsidR="00194691" w:rsidRPr="00806EF5" w:rsidRDefault="00194691" w:rsidP="00806EF5">
      <w:pPr>
        <w:pStyle w:val="3"/>
        <w:keepNext w:val="0"/>
        <w:keepLines w:val="0"/>
        <w:widowControl w:val="0"/>
        <w:shd w:val="clear" w:color="auto" w:fill="FFFFFF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</w:pPr>
      <w:r w:rsidRPr="00806EF5"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Проявление</w:t>
      </w:r>
      <w:r w:rsidR="00806EF5"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аутоимунного</w:t>
      </w:r>
      <w:r w:rsidR="00806EF5"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гепатита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отсутствует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единая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точка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зрения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этиологию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Многие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исследователи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склоняются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версии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наследственного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дефекта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системы.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Иногда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развивается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вслед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перенесенным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вирусным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Чаще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молодые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женщины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девушки.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Первые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симптомы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появляются,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основном,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возрасте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20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30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более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50%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больных,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второй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пик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приходится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постменопаузальный</w:t>
      </w:r>
      <w:r w:rsidRPr="00806EF5">
        <w:rPr>
          <w:rStyle w:val="af2"/>
          <w:rFonts w:eastAsia="Times New Roman"/>
          <w:sz w:val="28"/>
          <w:szCs w:val="28"/>
        </w:rPr>
        <w:footnoteReference w:id="3"/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период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женщин.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30%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случаев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начинается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внезапно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клиническая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картина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неотличима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острого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гепатита,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который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разрешается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даже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спустя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несколько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месяцев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начала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патологического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процесса.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части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больных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возникает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незаметно,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появляется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тяжесть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правом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подреберье,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недомогание,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первыми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симптомами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могут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быть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внепеченочные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системные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проявления.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Аутоиммунный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гепатит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начинаться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остро,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несколько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протекать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скрыто,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проявляясь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приступами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неясной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лихорадки,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повышенной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утомляемостью,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болями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мышцах,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суставах,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маскируясь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поражения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(ревматоидный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полиартрит,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системную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красную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волчанку,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др.)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Style w:val="af2"/>
          <w:rFonts w:ascii="Times New Roman" w:eastAsia="Times New Roman"/>
          <w:sz w:val="28"/>
          <w:szCs w:val="28"/>
        </w:rPr>
        <w:footnoteReference w:id="4"/>
      </w:r>
      <w:r w:rsidRPr="00806EF5">
        <w:rPr>
          <w:rFonts w:ascii="Times New Roman"/>
          <w:sz w:val="28"/>
          <w:szCs w:val="28"/>
        </w:rPr>
        <w:t>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Долго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относительно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хорошо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переносится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пациентом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диагностироваться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этапе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цирроза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Тогда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появляются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желтушность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склер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кожи,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обесцвечивание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кала,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потемнение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мочи.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появляются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сосудистые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звездочки,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расчесы,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могут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эритемы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(красные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пятна),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очаги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склеродермии.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Когда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развивается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портальная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гипертензия,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асцит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(выпот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жидкости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полость).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отличие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других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видов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гепатитов,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непрерывно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прогрессирующее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течение,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самопроизвольных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ремиссий.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Улучшения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самочувствия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бывают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кратковременными,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нормализации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биохимических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процессов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происходит.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rStyle w:val="a6"/>
          <w:i w:val="0"/>
          <w:iCs w:val="0"/>
          <w:sz w:val="28"/>
          <w:szCs w:val="28"/>
          <w:bdr w:val="none" w:sz="0" w:space="0" w:color="auto" w:frame="1"/>
        </w:rPr>
        <w:t>Аутоиммунный</w:t>
      </w:r>
      <w:r w:rsidR="00806EF5">
        <w:rPr>
          <w:rStyle w:val="a6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806EF5">
        <w:rPr>
          <w:rStyle w:val="a6"/>
          <w:i w:val="0"/>
          <w:iCs w:val="0"/>
          <w:sz w:val="28"/>
          <w:szCs w:val="28"/>
          <w:bdr w:val="none" w:sz="0" w:space="0" w:color="auto" w:frame="1"/>
        </w:rPr>
        <w:t>гепатит</w:t>
      </w:r>
      <w:r w:rsidR="00806EF5">
        <w:rPr>
          <w:rStyle w:val="apple-converted-space"/>
          <w:rFonts w:eastAsia="Times New Roman"/>
          <w:sz w:val="28"/>
          <w:szCs w:val="28"/>
        </w:rPr>
        <w:t xml:space="preserve"> </w:t>
      </w:r>
      <w:r w:rsidRPr="00806EF5">
        <w:rPr>
          <w:sz w:val="28"/>
          <w:szCs w:val="28"/>
        </w:rPr>
        <w:t>характеризуется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сочетанием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поражения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признаков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иммунных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расстройств.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большинстве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случаев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наблюдается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желтуха,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увеличение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селезенки.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30%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женщин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наблюдается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нарушение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менструального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цикла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вплоть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прекращения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месячных.</w:t>
      </w:r>
    </w:p>
    <w:p w:rsidR="00194691" w:rsidRPr="00806EF5" w:rsidRDefault="00194691" w:rsidP="00806EF5">
      <w:pPr>
        <w:pStyle w:val="af3"/>
        <w:tabs>
          <w:tab w:val="left" w:pos="993"/>
        </w:tabs>
        <w:rPr>
          <w:color w:val="auto"/>
          <w:szCs w:val="28"/>
        </w:rPr>
      </w:pPr>
      <w:r w:rsidRPr="00806EF5">
        <w:rPr>
          <w:color w:val="auto"/>
          <w:szCs w:val="28"/>
        </w:rPr>
        <w:t>Более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чем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у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25%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больных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встречаются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боли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в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суставах,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кожные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высыпания,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выявляются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заболевание-спутник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-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неспецифический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язвенный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колит,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поражение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почек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-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гломерулонефрит,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поражение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сердца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(перикардит,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миокардит),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щитовидной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железы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-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тиреоидит,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трофические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язвы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на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конечностях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др.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Для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аутоиммунного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гепатита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непрерывное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неуклонно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прогрессирующее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течение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(быстрое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медленное),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сочетание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другими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аутоиммунными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заболеваниями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(щитовидной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железы,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кишечника,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почек.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Часто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сопровождается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бесплодием,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однако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возникновении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беременности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последующих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родах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фоне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компенсированного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процесса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влияет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течение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судьбу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ребенка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постоянном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приеме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преднизолона.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Диагностика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заболевания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Аутоиммунный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гепатит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опасен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развитием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портальной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гипертензии,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цирроза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печеночной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недостаточности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привести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летальному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исходу.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поэтому,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правильный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диагноз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возможен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специализированном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исследовании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выявление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аутоантител,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Style w:val="af2"/>
          <w:rFonts w:ascii="Times New Roman" w:eastAsia="Times New Roman"/>
          <w:sz w:val="28"/>
          <w:szCs w:val="28"/>
        </w:rPr>
        <w:footnoteReference w:id="5"/>
      </w:r>
      <w:r w:rsidRPr="00806EF5">
        <w:rPr>
          <w:rFonts w:ascii="Times New Roman"/>
          <w:sz w:val="28"/>
          <w:szCs w:val="28"/>
        </w:rPr>
        <w:t>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Физикальные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методы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обследования:</w:t>
      </w:r>
    </w:p>
    <w:p w:rsidR="00194691" w:rsidRPr="00806EF5" w:rsidRDefault="00194691" w:rsidP="00806EF5">
      <w:pPr>
        <w:widowControl w:val="0"/>
        <w:numPr>
          <w:ilvl w:val="0"/>
          <w:numId w:val="3"/>
        </w:numPr>
        <w:tabs>
          <w:tab w:val="clear" w:pos="178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опрос: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отсутствие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переливания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анамнезе,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употребления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алкоголя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гепатотоксических</w:t>
      </w:r>
      <w:r w:rsidRPr="00806EF5">
        <w:rPr>
          <w:rStyle w:val="af2"/>
          <w:rFonts w:eastAsia="Times New Roman"/>
          <w:sz w:val="28"/>
          <w:szCs w:val="28"/>
          <w:shd w:val="clear" w:color="auto" w:fill="FFFFFF"/>
        </w:rPr>
        <w:footnoteReference w:id="6"/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дозах,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употребления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гепатотоксичных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препаратов;</w:t>
      </w:r>
    </w:p>
    <w:p w:rsidR="00194691" w:rsidRPr="00806EF5" w:rsidRDefault="00194691" w:rsidP="00806EF5">
      <w:pPr>
        <w:widowControl w:val="0"/>
        <w:numPr>
          <w:ilvl w:val="0"/>
          <w:numId w:val="3"/>
        </w:numPr>
        <w:tabs>
          <w:tab w:val="clear" w:pos="178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осмотр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–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иктеричность</w:t>
      </w:r>
      <w:r w:rsidRPr="00806EF5">
        <w:rPr>
          <w:rStyle w:val="af2"/>
          <w:rFonts w:eastAsia="Times New Roman"/>
          <w:sz w:val="28"/>
          <w:szCs w:val="28"/>
          <w:shd w:val="clear" w:color="auto" w:fill="FFFFFF"/>
        </w:rPr>
        <w:footnoteReference w:id="7"/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склер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слизистых,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склонность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образованию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синяков,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геморрагические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угревые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высыпания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коже,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кровоточивость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десен.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Последние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признаки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характерны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АИГ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выраженной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активностью.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Лабораторные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исследования: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общий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анализ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общий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белок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белковые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фракции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билирубин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его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фракции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активность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АлАТ</w:t>
      </w:r>
      <w:r w:rsidRPr="00806EF5">
        <w:rPr>
          <w:rStyle w:val="af2"/>
          <w:rFonts w:eastAsia="Times New Roman"/>
          <w:sz w:val="28"/>
          <w:szCs w:val="28"/>
          <w:shd w:val="clear" w:color="auto" w:fill="FFFFFF"/>
        </w:rPr>
        <w:footnoteReference w:id="8"/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(выше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нормы);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активность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АлАТ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(выше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2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более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раз);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активность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ЩФ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(щелочной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фосфатазы)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(повышение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уровня);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протромбиновый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индекс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rStyle w:val="af2"/>
          <w:rFonts w:eastAsia="Times New Roman"/>
          <w:sz w:val="28"/>
          <w:szCs w:val="28"/>
          <w:shd w:val="clear" w:color="auto" w:fill="FFFFFF"/>
        </w:rPr>
        <w:footnoteReference w:id="9"/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(ниже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нормы);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сывороточные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маркеры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вирусных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гепатитов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(серологические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маркеры,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выявление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фрагментов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вирусного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генома);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антитела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против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антигенов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ВИЧ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(отсутствие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маркеров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ВИЧ);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α1-антитрипсин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α-фетопротеин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антинуклеарные,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антигладкомышечные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антитела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(повышение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титра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антител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свыше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1:40,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антимитохондриальные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антитела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-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нормальном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диагностическом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титре,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случае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повышения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титра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следует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думать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наличии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синдрома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перекреста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ПБЦ);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уровень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железа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трансферрин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Сu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моче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церулоплазмин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сыворотке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креатинин,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мочевина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пределах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нормальных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значений);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обследование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вирус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дельта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(проводится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всех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больных,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инфицированных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вирусом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гепатита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В).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Необходимо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проводить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инструментальные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методы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диагностики:</w:t>
      </w:r>
    </w:p>
    <w:p w:rsidR="00194691" w:rsidRPr="00806EF5" w:rsidRDefault="00194691" w:rsidP="00806EF5">
      <w:pPr>
        <w:widowControl w:val="0"/>
        <w:numPr>
          <w:ilvl w:val="0"/>
          <w:numId w:val="4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биопсия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печени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последующим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гистологическим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исследованием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(выраженная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инфильтрация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портальной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перипортальной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зоне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вовлечение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процесс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паренхиматозных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клеток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перипортальной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зоне);</w:t>
      </w:r>
    </w:p>
    <w:p w:rsidR="00194691" w:rsidRPr="00806EF5" w:rsidRDefault="00194691" w:rsidP="00806EF5">
      <w:pPr>
        <w:widowControl w:val="0"/>
        <w:numPr>
          <w:ilvl w:val="0"/>
          <w:numId w:val="4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УЗИ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органов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брюшной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полости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(увеличение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размеров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печени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селезенки,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повышение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акустической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плотности,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усиление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сосудистого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рисунка);</w:t>
      </w:r>
    </w:p>
    <w:p w:rsidR="00194691" w:rsidRPr="00806EF5" w:rsidRDefault="00194691" w:rsidP="00806EF5">
      <w:pPr>
        <w:widowControl w:val="0"/>
        <w:numPr>
          <w:ilvl w:val="0"/>
          <w:numId w:val="4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сцинтиграфия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rStyle w:val="af2"/>
          <w:rFonts w:eastAsia="Times New Roman"/>
          <w:sz w:val="28"/>
          <w:szCs w:val="28"/>
          <w:shd w:val="clear" w:color="auto" w:fill="FFFFFF"/>
        </w:rPr>
        <w:footnoteReference w:id="10"/>
      </w:r>
      <w:r w:rsidRPr="00806EF5">
        <w:rPr>
          <w:sz w:val="28"/>
          <w:szCs w:val="28"/>
          <w:shd w:val="clear" w:color="auto" w:fill="FFFFFF"/>
        </w:rPr>
        <w:t>печени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показаниям);</w:t>
      </w:r>
    </w:p>
    <w:p w:rsidR="00194691" w:rsidRPr="00806EF5" w:rsidRDefault="00194691" w:rsidP="00806EF5">
      <w:pPr>
        <w:widowControl w:val="0"/>
        <w:numPr>
          <w:ilvl w:val="0"/>
          <w:numId w:val="4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ФГДС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(для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выявления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признаков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портальной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гипертензии);</w:t>
      </w:r>
    </w:p>
    <w:p w:rsidR="00194691" w:rsidRPr="00806EF5" w:rsidRDefault="00194691" w:rsidP="00806EF5">
      <w:pPr>
        <w:widowControl w:val="0"/>
        <w:numPr>
          <w:ilvl w:val="0"/>
          <w:numId w:val="4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КТ,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МРТ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(для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исключения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злокачественных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новообразований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печени).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Консультации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специалистов: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06EF5">
        <w:rPr>
          <w:sz w:val="28"/>
          <w:szCs w:val="28"/>
          <w:shd w:val="clear" w:color="auto" w:fill="FFFFFF"/>
        </w:rPr>
        <w:t>гематолог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(для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исключения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системного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заболевания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крови);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пульмонолог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(при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наличии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проявлений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АИГ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стороны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бронхолегочной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системы);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эндокринолог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(при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наличии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стороны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эндокринной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(аутоиммунный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тиреоидит,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сахарный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диабет,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дисменорея);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окулист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(для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уточнения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характера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поражения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органов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зрения);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нефролог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(при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наличии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системных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проявлений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АИГ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стороны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почек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(гломерулонефрит,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интерстициальный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нефрит);</w:t>
      </w:r>
    </w:p>
    <w:p w:rsidR="00194691" w:rsidRPr="00806EF5" w:rsidRDefault="00194691" w:rsidP="00806EF5">
      <w:pPr>
        <w:widowControl w:val="0"/>
        <w:numPr>
          <w:ilvl w:val="0"/>
          <w:numId w:val="5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  <w:shd w:val="clear" w:color="auto" w:fill="FFFFFF"/>
        </w:rPr>
        <w:t>гинеколог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(при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нарушении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репродуктивной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функции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у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женщин,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нарушениях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менструального</w:t>
      </w:r>
      <w:r w:rsidR="00806EF5">
        <w:rPr>
          <w:sz w:val="28"/>
          <w:szCs w:val="28"/>
          <w:shd w:val="clear" w:color="auto" w:fill="FFFFFF"/>
        </w:rPr>
        <w:t xml:space="preserve"> </w:t>
      </w:r>
      <w:r w:rsidRPr="00806EF5">
        <w:rPr>
          <w:sz w:val="28"/>
          <w:szCs w:val="28"/>
          <w:shd w:val="clear" w:color="auto" w:fill="FFFFFF"/>
        </w:rPr>
        <w:t>цикла).</w:t>
      </w:r>
    </w:p>
    <w:p w:rsidR="00194691" w:rsidRPr="00077F7C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pStyle w:val="3"/>
        <w:keepNext w:val="0"/>
        <w:keepLines w:val="0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Лечение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аутоимунного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гепатита</w:t>
      </w:r>
    </w:p>
    <w:p w:rsidR="00194691" w:rsidRPr="00806EF5" w:rsidRDefault="00194691" w:rsidP="00806EF5">
      <w:pPr>
        <w:pStyle w:val="3"/>
        <w:keepNext w:val="0"/>
        <w:keepLines w:val="0"/>
        <w:widowControl w:val="0"/>
        <w:shd w:val="clear" w:color="auto" w:fill="FFFFFF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аутоиммунном</w:t>
      </w:r>
      <w:r w:rsid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 xml:space="preserve"> </w:t>
      </w:r>
      <w:r w:rsidRPr="00806EF5">
        <w:rPr>
          <w:rStyle w:val="a5"/>
          <w:rFonts w:ascii="Times New Roman" w:eastAsia="Times New Roman"/>
          <w:b w:val="0"/>
          <w:bCs w:val="0"/>
          <w:sz w:val="28"/>
          <w:szCs w:val="28"/>
        </w:rPr>
        <w:t>гепатите</w:t>
      </w:r>
      <w:r w:rsidR="00806EF5">
        <w:rPr>
          <w:rStyle w:val="apple-converted-space"/>
          <w:rFonts w:ascii="Times New Roman" w:eastAsia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назначают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гормонотерапию,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которую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приходится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принимать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годами,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всеми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вытекающими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последствиями.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Осложнениями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длительной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гормонотерапии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могут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подавление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как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следствие,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резкое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снижение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сопротивляемости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инфекциям,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развитие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сахарного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диабета,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синдрома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Кушинга,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артериальной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гипертензии,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формирование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язв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желудка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двенадцатиперстной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кишки,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возникновение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ожирения,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нарушений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сна,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эмоциональной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неустойчивости,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катаракты,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остеопороза.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Методы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экстракорпоральной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гемокоррекции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позволяют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существенно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быстрее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достичь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аутоиммунного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максимально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продлить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её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(клинически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лабораторным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показателям)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минимальном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использовании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гормонов.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качестве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патогенетической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терапии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чаще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применяют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глюкокортикостероиды</w:t>
      </w:r>
      <w:r w:rsidRPr="00806EF5">
        <w:rPr>
          <w:rStyle w:val="af2"/>
          <w:rFonts w:eastAsia="Times New Roman"/>
          <w:sz w:val="28"/>
          <w:szCs w:val="28"/>
        </w:rPr>
        <w:footnoteReference w:id="11"/>
      </w:r>
      <w:r w:rsidRPr="00806EF5">
        <w:rPr>
          <w:sz w:val="28"/>
          <w:szCs w:val="28"/>
        </w:rPr>
        <w:t>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которые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снижают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активность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воспалительного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процесса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интенсивность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аутоиммунных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реакций,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направленных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против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гепатоцитов</w:t>
      </w:r>
      <w:r w:rsidRPr="00806EF5">
        <w:rPr>
          <w:rStyle w:val="af2"/>
          <w:rFonts w:eastAsia="Times New Roman"/>
          <w:sz w:val="28"/>
          <w:szCs w:val="28"/>
        </w:rPr>
        <w:footnoteReference w:id="12"/>
      </w:r>
      <w:r w:rsidRPr="00806EF5">
        <w:rPr>
          <w:sz w:val="28"/>
          <w:szCs w:val="28"/>
        </w:rPr>
        <w:t>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Препаратами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выбора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служат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препараты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«Преднизолон»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или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«Метилпреднизолон».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поддерживающими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дозами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проводится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длительно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-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6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мес.до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2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лет,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ряда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больных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-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всей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жизни.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Как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правило,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начальная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Преднизалона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составляет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20-30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мг/сутки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последующим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постепенным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снижением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поддерживающей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—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обычно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мг/сутки.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всех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схем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лечения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предпочтителен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ежедневный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однократно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утром.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Осложнения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терапии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наблюдаются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дозе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мг/сутки.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точных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рекомендаций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отмене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снижению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дозы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иммуносупрессоров,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некоторые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могут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долго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оставаться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после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отмены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Преднизалона.</w:t>
      </w:r>
    </w:p>
    <w:p w:rsidR="00194691" w:rsidRPr="00806EF5" w:rsidRDefault="00194691" w:rsidP="00806EF5">
      <w:pPr>
        <w:pStyle w:val="af3"/>
        <w:tabs>
          <w:tab w:val="left" w:pos="993"/>
        </w:tabs>
        <w:rPr>
          <w:color w:val="auto"/>
          <w:szCs w:val="28"/>
        </w:rPr>
      </w:pPr>
      <w:r w:rsidRPr="00806EF5">
        <w:rPr>
          <w:color w:val="auto"/>
          <w:szCs w:val="28"/>
        </w:rPr>
        <w:t>Перспективным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представляется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использование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кортикостероида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нового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поколения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будесонида,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обладающего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высокой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аффинностью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к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рецепторам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минимальными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местными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побочными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эффектами</w:t>
      </w:r>
      <w:r w:rsidR="00806EF5">
        <w:rPr>
          <w:color w:val="auto"/>
          <w:szCs w:val="28"/>
        </w:rPr>
        <w:t xml:space="preserve"> </w:t>
      </w:r>
      <w:r w:rsidRPr="00806EF5">
        <w:rPr>
          <w:color w:val="auto"/>
          <w:szCs w:val="28"/>
        </w:rPr>
        <w:t>(«Буденофальк»).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случаях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недостаточной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эффективности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преднизолона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или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развитии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тяжелых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побочных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эффектов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его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назначении,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обоснованным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является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подключение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терапии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препарата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«Азатиоприна».</w:t>
      </w:r>
    </w:p>
    <w:p w:rsidR="00194691" w:rsidRPr="00806EF5" w:rsidRDefault="00194691" w:rsidP="00806EF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Неэффективность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первичного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курса</w:t>
      </w:r>
      <w:r w:rsidR="00806EF5">
        <w:rPr>
          <w:rStyle w:val="apple-converted-space"/>
          <w:rFonts w:eastAsia="Times New Roman"/>
          <w:sz w:val="28"/>
          <w:szCs w:val="28"/>
        </w:rPr>
        <w:t xml:space="preserve"> </w:t>
      </w:r>
      <w:r w:rsidRPr="00806EF5">
        <w:rPr>
          <w:rStyle w:val="a5"/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лечения</w:t>
      </w:r>
      <w:r w:rsidR="00806EF5">
        <w:rPr>
          <w:rStyle w:val="a5"/>
          <w:rFonts w:eastAsia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6EF5">
        <w:rPr>
          <w:rStyle w:val="a5"/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аутоиммунного</w:t>
      </w:r>
      <w:r w:rsidR="00806EF5">
        <w:rPr>
          <w:rStyle w:val="a5"/>
          <w:rFonts w:eastAsia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6EF5">
        <w:rPr>
          <w:rStyle w:val="a5"/>
          <w:rFonts w:eastAsia="Times New Roman"/>
          <w:b w:val="0"/>
          <w:bCs w:val="0"/>
          <w:sz w:val="28"/>
          <w:szCs w:val="28"/>
          <w:bdr w:val="none" w:sz="0" w:space="0" w:color="auto" w:frame="1"/>
        </w:rPr>
        <w:t>гепатита</w:t>
      </w:r>
      <w:r w:rsidR="00806EF5">
        <w:rPr>
          <w:rStyle w:val="apple-converted-space"/>
          <w:rFonts w:eastAsia="Times New Roman"/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течение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4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лет,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множественные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рецидивы,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выраженные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побочные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эффекты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стероидной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цитостатической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терапии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-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являются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показаниями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трансплантации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Как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правило,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прогноз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трансплантации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благоприятный,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5-летняя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выживаемость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превышает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90%.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13%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взрослых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признаками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обнаруживаются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аутоантитела,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все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остальные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признаки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—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иммунологические,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биохимические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гистологические,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также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возраст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соответствуют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критериям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постановки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диагноза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важно,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также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хорошо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реагируют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лечение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стероидами.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Отмечено,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течением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времени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динамическом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наблюдении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некоторых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появляются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соответствующие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аутоантитела,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АГ.</w:t>
      </w:r>
    </w:p>
    <w:p w:rsidR="00194691" w:rsidRPr="00806EF5" w:rsidRDefault="00194691" w:rsidP="00806EF5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Побочные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эффекты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при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назначении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иммунодепрессантов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редкие,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это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основном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диспепсический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синдром,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сыпи,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кушингоидизм,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нарушение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роста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и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развития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у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детей,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сахарный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диабет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и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остеопороз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у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женщин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</w:t>
      </w:r>
      <w:r w:rsid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806EF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менопаузе.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Физические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упражнения</w:t>
      </w:r>
    </w:p>
    <w:p w:rsidR="00194691" w:rsidRPr="00806EF5" w:rsidRDefault="00194691" w:rsidP="00806EF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Подбор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средств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определяется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формой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гепатита.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аутоимунным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рекомендовано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подвергаться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физическим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нагрузкам.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Однако,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здесь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возможен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подбор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средств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Pr="00806EF5">
        <w:rPr>
          <w:rStyle w:val="af2"/>
          <w:rFonts w:ascii="Times New Roman" w:eastAsia="Times New Roman"/>
          <w:sz w:val="28"/>
          <w:szCs w:val="28"/>
        </w:rPr>
        <w:footnoteReference w:id="13"/>
      </w:r>
      <w:r w:rsidRPr="00806EF5">
        <w:rPr>
          <w:rFonts w:ascii="Times New Roman"/>
          <w:sz w:val="28"/>
          <w:szCs w:val="28"/>
        </w:rPr>
        <w:t>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Лечебное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действие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основано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влиянии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центральные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периферические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механизмы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нервной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регуляции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функций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частности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сократительной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способности,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нормализует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тонус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поверхности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влиянием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средств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происходит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улучшение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кровообращения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кровоснабжения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органов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ведет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ликвидации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воспалительных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изменений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области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Кроме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того,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возникновении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проблем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желчевыводящими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путями,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возможно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создание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условий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обеспечения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оттока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пузыря,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счет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придания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больному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дренажных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процедур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сочетании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специальными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упражнениями.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Увеличивается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внутрибрюшное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давление,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происходит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улучшение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функции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внутренних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органов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(нормализация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моторной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функции).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массаж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также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оказывают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стимулирующее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действие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нарушенные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обменные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процессы,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нормализующее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действие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функцию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основных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повышают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неспецифическую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сопротивляемость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организма.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оказания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лечебного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эффекта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аутоимунном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используют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следующие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упражнения: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clear" w:pos="169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Дыхательные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оказывается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воздействие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внутрибрюшное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давление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движениях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диафрагмы,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способствует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улучшению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кровоснабжения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усилению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кровотока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желчевыводящей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системе;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clear" w:pos="169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пресса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создаются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условия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формирования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взаиморасположений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изменяется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внутрибрюшное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давление,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происходят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уменьшение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ликвидация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воспалительных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явлений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билиарной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системе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счет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влияния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кровоснабжение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пузыря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протоков;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clear" w:pos="169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Дренажные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четвереньках;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отток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облегчается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действием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силы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тяжести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из-за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анатомо-топографических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взаимоотношений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пузыря,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общего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протока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двенадцатиперстной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кишки.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  <w:tab w:val="left" w:pos="7590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применении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решаются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следующие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задачи: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06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ликвидация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болевого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синдрома;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06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улучшение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нервной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регуляции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моторной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функции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7"/>
        </w:numPr>
        <w:shd w:val="clear" w:color="auto" w:fill="FFFFFF"/>
        <w:tabs>
          <w:tab w:val="clear" w:pos="106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уменьшение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воспалительных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явлений.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обострения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методике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предусматривается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сочетание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акцентом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диафрагмальное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дыхание,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проводимых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медленном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темпе;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расслаблении;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ОРУ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небольшим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количеством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повторений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сидя.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Вид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занятий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индивидуальные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Нагрузка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ниже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средней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интенсивности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(частота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сердечных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ударов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120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ударов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мин.).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Длительность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10-15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общих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задач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применяются: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360"/>
          <w:tab w:val="left" w:pos="54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среднем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темпе,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прикладные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виды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упражнений: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различные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варианты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носках,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пятках,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высоким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подниманием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бедер;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легкий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бег;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прыжки;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лазание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ползание;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метание.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54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Игры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малой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подвижности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внимание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координацию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движений)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исключаются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стихания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обострения.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применяются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игры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средней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подвижности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включением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дренажных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положений,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работой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пресса.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Используются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разнообразные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спине,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сидя,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Формы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зависят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этапа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лечения.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стационарном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санаторном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этапах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проводится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форме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УГ,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специальных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занятий,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индивидуальных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назначений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самостоятельного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выполнения;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элементы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включаются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режим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дня.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Специальные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спине.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одновременно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скользя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стопой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поверхности,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поясе.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плечи,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посмотреть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носки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3.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положить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грудь,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живот.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диафрагмальное.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поднимается,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следуя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движением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передней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стенки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живота,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опускается.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4.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выпрямлена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полусогнута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тазобедренном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суставах.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прижать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грудной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клетке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5.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Отвести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выпрямленную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назад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6.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подтянуть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животу,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наклонить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вперед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7.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Отвести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назад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подтягивая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грудной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клетке,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8.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четвереньках.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Поднимая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между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руками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передвигать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скользящим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движением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вперед,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выполнить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другой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ногой.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9.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четвереньках.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прямую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сторону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10.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червереньках.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отрывая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пятки,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живот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прижать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коленям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Вернуться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исходное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положение.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четвереньках.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Поднять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прогнуться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поясничной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области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вдох,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наклонить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голову,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выгнуть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спину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дугой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выдох.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Специальные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занятия: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Основная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длительность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10-18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Темп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выполнения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–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средний.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заключении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3-5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темп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выполнения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–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медленный.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Упражнения: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прикладного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характера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постепенным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замедлением).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расслаблении.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3.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Дыхательные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статические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Комплекс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ЛФК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ремиссии.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Вводная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часть: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кругу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носках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3.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пятках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4.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Легкий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кругу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Основная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часть: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Pr="00806EF5">
        <w:rPr>
          <w:rStyle w:val="af2"/>
          <w:rFonts w:ascii="Times New Roman" w:eastAsia="Times New Roman"/>
          <w:sz w:val="28"/>
          <w:szCs w:val="28"/>
        </w:rPr>
        <w:footnoteReference w:id="14"/>
      </w:r>
      <w:r w:rsidRPr="00806EF5">
        <w:rPr>
          <w:rFonts w:ascii="Times New Roman"/>
          <w:sz w:val="28"/>
          <w:szCs w:val="28"/>
        </w:rPr>
        <w:t>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Наклоны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вперед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5-7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Вращение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корпусом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против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часовой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стрелки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5-7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3.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сидя.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Наклоны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назад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достать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пятку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попеременно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4-6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4.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спине.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«Велосипед»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5.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Подъем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прямой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вверх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4-6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6.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лежа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спине.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«Ножницы»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поперечные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продольные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4-6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7.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коленно-кистевое.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Попеременный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подъем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6-8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8.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«Гусиный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шаг»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четвереньках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м"/>
        </w:smartTagPr>
        <w:r w:rsidRPr="00806EF5">
          <w:rPr>
            <w:rFonts w:ascii="Times New Roman"/>
            <w:sz w:val="28"/>
            <w:szCs w:val="28"/>
          </w:rPr>
          <w:t>5</w:t>
        </w:r>
        <w:r w:rsidR="00806EF5">
          <w:rPr>
            <w:rFonts w:ascii="Times New Roman"/>
            <w:sz w:val="28"/>
            <w:szCs w:val="28"/>
          </w:rPr>
          <w:t xml:space="preserve"> </w:t>
        </w:r>
        <w:r w:rsidRPr="00806EF5">
          <w:rPr>
            <w:rFonts w:ascii="Times New Roman"/>
            <w:sz w:val="28"/>
            <w:szCs w:val="28"/>
          </w:rPr>
          <w:t>м</w:t>
        </w:r>
      </w:smartTag>
      <w:r w:rsidRPr="00806EF5">
        <w:rPr>
          <w:rFonts w:ascii="Times New Roman"/>
          <w:sz w:val="28"/>
          <w:szCs w:val="28"/>
        </w:rPr>
        <w:t>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9.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Скрещивание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прямых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6-8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раз.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10.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И.п:.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стоя.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«Мельница»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вращение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прямыми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руками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плечевых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суставах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Заключительная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часть: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1.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Легкий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60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носках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3.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Ходьба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обычная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40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сек.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4.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Дыхательные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аутоимунном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гепатите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специальных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задач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являются: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clear" w:pos="106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статические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динамические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дыхательные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проводимые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медленном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темпе;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clear" w:pos="106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и.п.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правом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боку,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выполняются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целью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улучшения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кровоснабжения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пузыре;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clear" w:pos="106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расслаблении;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clear" w:pos="1069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упражнения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пресса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период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неполной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ремиссии,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проводятся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без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значительного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повышения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внутри-брюшного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давления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сочетании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расслаблением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Необходимо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избегать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длительных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статических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нагрузок,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особенно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мышц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брюшного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пресса.</w:t>
      </w:r>
    </w:p>
    <w:p w:rsidR="00194691" w:rsidRPr="00806EF5" w:rsidRDefault="00194691" w:rsidP="00806EF5">
      <w:pPr>
        <w:pStyle w:val="af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решения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общих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задач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применяют: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прикладные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виды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(ходьба,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лазание,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метание).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Прыжки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бег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включаются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только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полном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отсутствии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болевого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синдрома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достаточной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физической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подготовленности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детей;</w:t>
      </w:r>
    </w:p>
    <w:p w:rsidR="00194691" w:rsidRPr="00806EF5" w:rsidRDefault="00194691" w:rsidP="00806EF5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используют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игры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малой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подвижности,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исключением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соревновательных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элементов.</w:t>
      </w:r>
    </w:p>
    <w:p w:rsidR="00194691" w:rsidRPr="00806EF5" w:rsidRDefault="00194691" w:rsidP="00806EF5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этом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нужно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осторожно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начинать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делать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упражнения,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постепенно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увеличивая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нагрузку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длительность.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Начать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можно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5-минутных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занятий,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каждый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день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увеличивая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продолжительность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несколько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минут.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Главное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переутомляться.</w:t>
      </w:r>
    </w:p>
    <w:p w:rsidR="00194691" w:rsidRPr="00806EF5" w:rsidRDefault="00194691" w:rsidP="00806EF5">
      <w:pPr>
        <w:pStyle w:val="firstpara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Для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здоровья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ее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нормальной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физиологической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деятельности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очень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важно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движение.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Физическая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активность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-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одно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из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самых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эффективных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средств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предупреждении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лечении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болезней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печени.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Поэтому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наряду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теми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рекомендациями,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которые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были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даны,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необходимо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как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можно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скорее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перейти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подвижному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образу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жизни.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При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этом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надо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осознать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всеисцеляющую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силу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движения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поверить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успех.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Без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положительного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настроя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твердой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веры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занятия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вряд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ли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пойдут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на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пользу.</w:t>
      </w:r>
    </w:p>
    <w:p w:rsidR="00194691" w:rsidRPr="00806EF5" w:rsidRDefault="00194691" w:rsidP="00806EF5">
      <w:pPr>
        <w:pStyle w:val="firstpara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7140" w:rsidRDefault="00AC71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691" w:rsidRPr="00806EF5" w:rsidRDefault="00194691" w:rsidP="00806EF5">
      <w:pPr>
        <w:pStyle w:val="firstpara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6EF5">
        <w:rPr>
          <w:sz w:val="28"/>
          <w:szCs w:val="28"/>
        </w:rPr>
        <w:t>Список</w:t>
      </w:r>
      <w:r w:rsidR="00806EF5">
        <w:rPr>
          <w:sz w:val="28"/>
          <w:szCs w:val="28"/>
        </w:rPr>
        <w:t xml:space="preserve"> </w:t>
      </w:r>
      <w:r w:rsidRPr="00806EF5">
        <w:rPr>
          <w:sz w:val="28"/>
          <w:szCs w:val="28"/>
        </w:rPr>
        <w:t>литературы</w:t>
      </w:r>
    </w:p>
    <w:p w:rsidR="00194691" w:rsidRPr="00806EF5" w:rsidRDefault="00194691" w:rsidP="00806EF5">
      <w:pPr>
        <w:pStyle w:val="firstpara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4691" w:rsidRPr="00806EF5" w:rsidRDefault="00194691" w:rsidP="00AC7140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Борзяк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Э.И.,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Бочаров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В.Я.,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Волкова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Л.И.;/Под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ред.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М.Р.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Сапина.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Анатомия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человека.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2-х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томах.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1986.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Гугушвили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Г.Г.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Ретроградное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кровообращение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портальная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гипертензия.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1972.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Ильина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Е.Н.,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Говорун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В.М.,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Иваников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И.О.,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Сюткин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В.Е.,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Петухова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С.В.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Хронические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вирусные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(методическое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пособие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для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врачей).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М.,: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2001.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Михайлов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Г.А.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Печеночные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вены.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//Архив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анатомии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гистологии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эмбриологии.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1966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50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№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стр.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27-33.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Островерхов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Г.Е.,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Лубоцкий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Д.Н.,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Бомаш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Ю.М.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Оперативная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хирургия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топографическая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анатомия.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1972.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Пономарев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А.А.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Аневризма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печеночной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артерии.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//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Хирургия.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2006.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№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3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–С.70.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Синельников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Р.Д.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Атлас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анатомии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человека.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4-х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томах.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AC7140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1963.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Шерлок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Ш.,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Дули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Дж.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Заболевания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желчных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путей: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Практич.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Рук.: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Пер.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с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англ./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Под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ред.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З.Г.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Апросиной,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Н.А.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Мухина.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Гэотар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Медицина,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1999.</w:t>
      </w:r>
    </w:p>
    <w:p w:rsidR="00194691" w:rsidRPr="00806EF5" w:rsidRDefault="00194691" w:rsidP="00AC7140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/>
          <w:sz w:val="28"/>
          <w:szCs w:val="28"/>
        </w:rPr>
      </w:pPr>
      <w:r w:rsidRPr="00806EF5">
        <w:rPr>
          <w:rFonts w:ascii="Times New Roman"/>
          <w:sz w:val="28"/>
          <w:szCs w:val="28"/>
        </w:rPr>
        <w:t>Шипов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О.Ю.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Допплерографические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показатели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печеночной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гемодинамики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при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циррозе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множественном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метатстатическом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поражении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печени.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-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М.: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Мораг-Экспо.</w:t>
      </w:r>
      <w:r w:rsidR="00806EF5">
        <w:rPr>
          <w:rFonts w:ascii="Times New Roman"/>
          <w:sz w:val="28"/>
          <w:szCs w:val="28"/>
        </w:rPr>
        <w:t xml:space="preserve"> </w:t>
      </w:r>
      <w:r w:rsidRPr="00806EF5">
        <w:rPr>
          <w:rFonts w:ascii="Times New Roman"/>
          <w:sz w:val="28"/>
          <w:szCs w:val="28"/>
        </w:rPr>
        <w:t>2000.</w:t>
      </w:r>
    </w:p>
    <w:sectPr w:rsidR="00194691" w:rsidRPr="00806EF5" w:rsidSect="00806EF5">
      <w:footerReference w:type="even" r:id="rId7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370" w:rsidRDefault="00544370" w:rsidP="00194691">
      <w:r>
        <w:separator/>
      </w:r>
    </w:p>
  </w:endnote>
  <w:endnote w:type="continuationSeparator" w:id="0">
    <w:p w:rsidR="00544370" w:rsidRDefault="00544370" w:rsidP="001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EF5" w:rsidRDefault="00806EF5">
    <w:pPr>
      <w:pStyle w:val="ab"/>
      <w:framePr w:wrap="around" w:vAnchor="text" w:hAnchor="margin" w:xAlign="center" w:y="1"/>
      <w:rPr>
        <w:rStyle w:val="ad"/>
        <w:rFonts w:eastAsia="Times New Roman"/>
      </w:rPr>
    </w:pPr>
    <w:r>
      <w:rPr>
        <w:rStyle w:val="ad"/>
        <w:rFonts w:eastAsia="Times New Roman"/>
      </w:rPr>
      <w:fldChar w:fldCharType="begin"/>
    </w:r>
    <w:r>
      <w:rPr>
        <w:rStyle w:val="ad"/>
        <w:rFonts w:eastAsia="Times New Roman"/>
      </w:rPr>
      <w:instrText xml:space="preserve">PAGE  </w:instrText>
    </w:r>
    <w:r>
      <w:rPr>
        <w:rStyle w:val="ad"/>
        <w:rFonts w:eastAsia="Times New Roman"/>
      </w:rPr>
      <w:fldChar w:fldCharType="end"/>
    </w:r>
  </w:p>
  <w:p w:rsidR="00806EF5" w:rsidRDefault="00806E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370" w:rsidRDefault="00544370" w:rsidP="00194691">
      <w:r>
        <w:separator/>
      </w:r>
    </w:p>
  </w:footnote>
  <w:footnote w:type="continuationSeparator" w:id="0">
    <w:p w:rsidR="00544370" w:rsidRDefault="00544370" w:rsidP="00194691">
      <w:r>
        <w:continuationSeparator/>
      </w:r>
    </w:p>
  </w:footnote>
  <w:footnote w:id="1">
    <w:p w:rsidR="002F2A32" w:rsidRDefault="00806EF5" w:rsidP="00806EF5">
      <w:pPr>
        <w:pStyle w:val="af"/>
        <w:widowControl w:val="0"/>
        <w:shd w:val="clear" w:color="auto" w:fill="FFFFFF"/>
        <w:spacing w:before="0" w:beforeAutospacing="0" w:after="0" w:afterAutospacing="0"/>
        <w:jc w:val="both"/>
      </w:pPr>
      <w:r w:rsidRPr="00806EF5">
        <w:rPr>
          <w:rStyle w:val="af2"/>
          <w:rFonts w:ascii="Times New Roman" w:eastAsia="Times New Roman"/>
          <w:sz w:val="20"/>
          <w:szCs w:val="20"/>
        </w:rPr>
        <w:footnoteRef/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Борзяк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Э.И.,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Бочаров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В.Я.,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Волкова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Л.И.;/Под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ред.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М.Р.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Сапина.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Анатомия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человека.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В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2-х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томах.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Т.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2.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-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М.: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Медицина,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1986.</w:t>
      </w:r>
    </w:p>
  </w:footnote>
  <w:footnote w:id="2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Сложный</w:t>
      </w:r>
      <w:r>
        <w:t xml:space="preserve"> </w:t>
      </w:r>
      <w:r w:rsidRPr="00806EF5">
        <w:t>белок</w:t>
      </w:r>
      <w:r>
        <w:t xml:space="preserve"> </w:t>
      </w:r>
      <w:r w:rsidRPr="00806EF5">
        <w:t>печени</w:t>
      </w:r>
    </w:p>
  </w:footnote>
  <w:footnote w:id="3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Климакс</w:t>
      </w:r>
      <w:r>
        <w:t xml:space="preserve"> </w:t>
      </w:r>
      <w:r w:rsidRPr="00806EF5">
        <w:t>(окончание</w:t>
      </w:r>
      <w:r>
        <w:t xml:space="preserve"> </w:t>
      </w:r>
      <w:r w:rsidRPr="00806EF5">
        <w:t>менструальных</w:t>
      </w:r>
      <w:r>
        <w:t xml:space="preserve"> </w:t>
      </w:r>
      <w:r w:rsidRPr="00806EF5">
        <w:t>циклов).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Длится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менопауза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12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месяцев.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Возраст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менопаузы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среднем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49-51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год.</w:t>
      </w:r>
    </w:p>
  </w:footnote>
  <w:footnote w:id="4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Ильина</w:t>
      </w:r>
      <w:r>
        <w:t xml:space="preserve"> </w:t>
      </w:r>
      <w:r w:rsidRPr="00806EF5">
        <w:t>Е.Н.,</w:t>
      </w:r>
      <w:r>
        <w:t xml:space="preserve"> </w:t>
      </w:r>
      <w:r w:rsidRPr="00806EF5">
        <w:t>Говорун</w:t>
      </w:r>
      <w:r>
        <w:t xml:space="preserve"> </w:t>
      </w:r>
      <w:r w:rsidRPr="00806EF5">
        <w:t>В.М.,</w:t>
      </w:r>
      <w:r>
        <w:t xml:space="preserve"> </w:t>
      </w:r>
      <w:r w:rsidRPr="00806EF5">
        <w:t>Иваников</w:t>
      </w:r>
      <w:r>
        <w:t xml:space="preserve"> </w:t>
      </w:r>
      <w:r w:rsidRPr="00806EF5">
        <w:t>И.О.,</w:t>
      </w:r>
      <w:r>
        <w:t xml:space="preserve"> </w:t>
      </w:r>
      <w:r w:rsidRPr="00806EF5">
        <w:t>Сюткин</w:t>
      </w:r>
      <w:r>
        <w:t xml:space="preserve"> </w:t>
      </w:r>
      <w:r w:rsidRPr="00806EF5">
        <w:t>В.Е.,</w:t>
      </w:r>
      <w:r>
        <w:t xml:space="preserve"> </w:t>
      </w:r>
      <w:r w:rsidRPr="00806EF5">
        <w:t>Петухова</w:t>
      </w:r>
      <w:r>
        <w:t xml:space="preserve"> </w:t>
      </w:r>
      <w:r w:rsidRPr="00806EF5">
        <w:t>С.В.</w:t>
      </w:r>
      <w:r>
        <w:t xml:space="preserve"> </w:t>
      </w:r>
      <w:r w:rsidRPr="00806EF5">
        <w:t>Хронические</w:t>
      </w:r>
      <w:r>
        <w:t xml:space="preserve"> </w:t>
      </w:r>
      <w:r w:rsidRPr="00806EF5">
        <w:t>вирусные</w:t>
      </w:r>
      <w:r>
        <w:t xml:space="preserve"> </w:t>
      </w:r>
      <w:r w:rsidRPr="00806EF5">
        <w:t>заболевания</w:t>
      </w:r>
      <w:r>
        <w:t xml:space="preserve"> </w:t>
      </w:r>
      <w:r w:rsidRPr="00806EF5">
        <w:t>печени</w:t>
      </w:r>
      <w:r>
        <w:t xml:space="preserve"> </w:t>
      </w:r>
      <w:r w:rsidRPr="00806EF5">
        <w:t>(методическое</w:t>
      </w:r>
      <w:r>
        <w:t xml:space="preserve"> </w:t>
      </w:r>
      <w:r w:rsidRPr="00806EF5">
        <w:t>пособие</w:t>
      </w:r>
      <w:r>
        <w:t xml:space="preserve"> </w:t>
      </w:r>
      <w:r w:rsidRPr="00806EF5">
        <w:t>для</w:t>
      </w:r>
      <w:r>
        <w:t xml:space="preserve"> </w:t>
      </w:r>
      <w:r w:rsidRPr="00806EF5">
        <w:t>врачей).</w:t>
      </w:r>
      <w:r>
        <w:t xml:space="preserve"> </w:t>
      </w:r>
      <w:r w:rsidRPr="00806EF5">
        <w:t>-</w:t>
      </w:r>
      <w:r>
        <w:t xml:space="preserve"> </w:t>
      </w:r>
      <w:r w:rsidRPr="00806EF5">
        <w:t>М.,:</w:t>
      </w:r>
      <w:r>
        <w:t xml:space="preserve"> </w:t>
      </w:r>
      <w:r w:rsidRPr="00806EF5">
        <w:t>Медицина.</w:t>
      </w:r>
      <w:r>
        <w:t xml:space="preserve"> </w:t>
      </w:r>
      <w:r w:rsidRPr="00806EF5">
        <w:t>2001.</w:t>
      </w:r>
    </w:p>
  </w:footnote>
  <w:footnote w:id="5">
    <w:p w:rsidR="002F2A32" w:rsidRDefault="00806EF5" w:rsidP="00806EF5">
      <w:pPr>
        <w:pStyle w:val="af"/>
        <w:widowControl w:val="0"/>
        <w:shd w:val="clear" w:color="auto" w:fill="FFFFFF"/>
        <w:spacing w:before="0" w:beforeAutospacing="0" w:after="0" w:afterAutospacing="0"/>
        <w:jc w:val="both"/>
      </w:pPr>
      <w:r w:rsidRPr="00806EF5">
        <w:rPr>
          <w:rStyle w:val="af2"/>
          <w:rFonts w:ascii="Times New Roman" w:eastAsia="Times New Roman"/>
          <w:sz w:val="20"/>
          <w:szCs w:val="20"/>
        </w:rPr>
        <w:footnoteRef/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Синельников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Р.Д.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Атлас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анатомии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человека.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В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4-х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томах.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-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М.:Медицина,</w:t>
      </w:r>
      <w:r>
        <w:rPr>
          <w:rFonts w:ascii="Times New Roman"/>
          <w:sz w:val="20"/>
          <w:szCs w:val="20"/>
        </w:rPr>
        <w:t xml:space="preserve"> </w:t>
      </w:r>
      <w:r w:rsidRPr="00806EF5">
        <w:rPr>
          <w:rFonts w:ascii="Times New Roman"/>
          <w:sz w:val="20"/>
          <w:szCs w:val="20"/>
        </w:rPr>
        <w:t>1963.</w:t>
      </w:r>
    </w:p>
  </w:footnote>
  <w:footnote w:id="6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rPr>
          <w:shd w:val="clear" w:color="auto" w:fill="FFFFFF"/>
        </w:rPr>
        <w:t>Гепатотоксичность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(токсичность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для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1" w:tooltip="Печень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печени</w:t>
        </w:r>
      </w:hyperlink>
      <w:r w:rsidRPr="00806EF5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свойство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2" w:tooltip="Химия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химических</w:t>
        </w:r>
      </w:hyperlink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веществ,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действуя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организм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немеханическим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путем,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вызывать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структурно-функциональные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нарушения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печени.</w:t>
      </w:r>
    </w:p>
  </w:footnote>
  <w:footnote w:id="7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rPr>
          <w:shd w:val="clear" w:color="auto" w:fill="FFFFFF"/>
        </w:rPr>
        <w:t>Икреричность,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иначе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желтушность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–пигментация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слизистых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оболочек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кожи.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</w:p>
  </w:footnote>
  <w:footnote w:id="8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АЛТ</w:t>
      </w:r>
      <w:r>
        <w:t xml:space="preserve"> </w:t>
      </w:r>
      <w:r w:rsidRPr="00806EF5">
        <w:t>–</w:t>
      </w:r>
      <w:r>
        <w:t xml:space="preserve"> </w:t>
      </w:r>
      <w:r w:rsidRPr="00806EF5">
        <w:t>алатиновая</w:t>
      </w:r>
      <w:r>
        <w:t xml:space="preserve"> </w:t>
      </w:r>
      <w:r w:rsidRPr="00806EF5">
        <w:t>трансаминаза.</w:t>
      </w:r>
    </w:p>
  </w:footnote>
  <w:footnote w:id="9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П</w:t>
      </w:r>
      <w:r w:rsidRPr="00806EF5">
        <w:rPr>
          <w:shd w:val="clear" w:color="auto" w:fill="FFFFFF"/>
        </w:rPr>
        <w:t>ротромбиновый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индекс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один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из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показателей,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характеризующих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свертывающую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систему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крови.</w:t>
      </w:r>
    </w:p>
  </w:footnote>
  <w:footnote w:id="10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Те</w:t>
      </w:r>
      <w:r w:rsidRPr="00806EF5">
        <w:rPr>
          <w:shd w:val="clear" w:color="auto" w:fill="FFFFFF"/>
        </w:rPr>
        <w:t>ст,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при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котором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врачи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исследуют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двухмерную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картину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внутренних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органов.</w:t>
      </w:r>
    </w:p>
  </w:footnote>
  <w:footnote w:id="11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О</w:t>
      </w:r>
      <w:r w:rsidRPr="00806EF5">
        <w:rPr>
          <w:shd w:val="clear" w:color="auto" w:fill="FFFFFF"/>
        </w:rPr>
        <w:t>бщее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название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подкласса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3" w:tooltip="Гормон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гормонов</w:t>
        </w:r>
      </w:hyperlink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коры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4" w:tooltip="Надпочечники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надпочечников</w:t>
        </w:r>
      </w:hyperlink>
      <w:r w:rsidRPr="00806EF5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обладающих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более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сильным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действием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на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5" w:tooltip="Углеводы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углеводный</w:t>
        </w:r>
      </w:hyperlink>
      <w:r w:rsidRPr="00806EF5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чем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водно-солевой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обмен,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синтетических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аналогов.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Функция: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регуляция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минерального,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углеводного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белкового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баланса.</w:t>
      </w:r>
    </w:p>
  </w:footnote>
  <w:footnote w:id="12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rPr>
          <w:rStyle w:val="apple-converted-space"/>
          <w:rFonts w:eastAsia="Times New Roman"/>
          <w:shd w:val="clear" w:color="auto" w:fill="FFFFFF"/>
        </w:rPr>
        <w:t>Клетки,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инициирующие</w:t>
      </w:r>
      <w:r>
        <w:rPr>
          <w:shd w:val="clear" w:color="auto" w:fill="FFFFFF"/>
        </w:rPr>
        <w:t xml:space="preserve"> </w:t>
      </w:r>
      <w:r w:rsidRPr="00806EF5">
        <w:rPr>
          <w:shd w:val="clear" w:color="auto" w:fill="FFFFFF"/>
        </w:rPr>
        <w:t>процесс</w:t>
      </w:r>
      <w:r>
        <w:rPr>
          <w:rStyle w:val="apple-converted-space"/>
          <w:rFonts w:eastAsia="Times New Roman"/>
          <w:shd w:val="clear" w:color="auto" w:fill="FFFFFF"/>
        </w:rPr>
        <w:t xml:space="preserve"> </w:t>
      </w:r>
      <w:hyperlink r:id="rId6" w:tooltip="Желчь" w:history="1">
        <w:r w:rsidRPr="00806EF5">
          <w:rPr>
            <w:rStyle w:val="ae"/>
            <w:rFonts w:eastAsia="Times New Roman"/>
            <w:color w:val="auto"/>
            <w:u w:val="none"/>
            <w:shd w:val="clear" w:color="auto" w:fill="FFFFFF"/>
          </w:rPr>
          <w:t>желчеобразования</w:t>
        </w:r>
      </w:hyperlink>
      <w:r w:rsidRPr="00806EF5">
        <w:rPr>
          <w:shd w:val="clear" w:color="auto" w:fill="FFFFFF"/>
        </w:rPr>
        <w:t>.</w:t>
      </w:r>
    </w:p>
  </w:footnote>
  <w:footnote w:id="13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ЛФК</w:t>
      </w:r>
      <w:r>
        <w:t xml:space="preserve"> </w:t>
      </w:r>
      <w:r w:rsidRPr="00806EF5">
        <w:t>–</w:t>
      </w:r>
      <w:r>
        <w:t xml:space="preserve"> </w:t>
      </w:r>
      <w:r w:rsidRPr="00806EF5">
        <w:t>лечебно-физкультурный</w:t>
      </w:r>
      <w:r>
        <w:t xml:space="preserve"> </w:t>
      </w:r>
      <w:r w:rsidRPr="00806EF5">
        <w:t>комплекс</w:t>
      </w:r>
    </w:p>
  </w:footnote>
  <w:footnote w:id="14">
    <w:p w:rsidR="002F2A32" w:rsidRDefault="00806EF5" w:rsidP="00806EF5">
      <w:pPr>
        <w:pStyle w:val="af0"/>
        <w:widowControl w:val="0"/>
        <w:jc w:val="both"/>
      </w:pPr>
      <w:r w:rsidRPr="00806EF5">
        <w:rPr>
          <w:rStyle w:val="af2"/>
          <w:rFonts w:eastAsia="Times New Roman"/>
        </w:rPr>
        <w:footnoteRef/>
      </w:r>
      <w:r>
        <w:t xml:space="preserve"> </w:t>
      </w:r>
      <w:r w:rsidRPr="00806EF5">
        <w:t>И.П.</w:t>
      </w:r>
      <w:r>
        <w:t xml:space="preserve"> </w:t>
      </w:r>
      <w:r w:rsidRPr="00806EF5">
        <w:t>–</w:t>
      </w:r>
      <w:r>
        <w:t xml:space="preserve"> </w:t>
      </w:r>
      <w:r w:rsidRPr="00806EF5">
        <w:t>исходное</w:t>
      </w:r>
      <w:r>
        <w:t xml:space="preserve"> </w:t>
      </w:r>
      <w:r w:rsidRPr="00806EF5">
        <w:t>положение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FD0"/>
    <w:multiLevelType w:val="hybridMultilevel"/>
    <w:tmpl w:val="A630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E5D0B"/>
    <w:multiLevelType w:val="hybridMultilevel"/>
    <w:tmpl w:val="77A2FBE2"/>
    <w:lvl w:ilvl="0" w:tplc="08F022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90A2900"/>
    <w:multiLevelType w:val="hybridMultilevel"/>
    <w:tmpl w:val="CD9EE084"/>
    <w:lvl w:ilvl="0" w:tplc="7EA05A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B655417"/>
    <w:multiLevelType w:val="hybridMultilevel"/>
    <w:tmpl w:val="7D98D760"/>
    <w:lvl w:ilvl="0" w:tplc="F3F0F86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F124790"/>
    <w:multiLevelType w:val="hybridMultilevel"/>
    <w:tmpl w:val="EDE6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7E0284"/>
    <w:multiLevelType w:val="hybridMultilevel"/>
    <w:tmpl w:val="71B8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7E2E37"/>
    <w:multiLevelType w:val="hybridMultilevel"/>
    <w:tmpl w:val="4F1C3862"/>
    <w:lvl w:ilvl="0" w:tplc="FCEC92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84A4732"/>
    <w:multiLevelType w:val="hybridMultilevel"/>
    <w:tmpl w:val="27D81222"/>
    <w:lvl w:ilvl="0" w:tplc="00807EE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61937F4D"/>
    <w:multiLevelType w:val="hybridMultilevel"/>
    <w:tmpl w:val="E01A0656"/>
    <w:lvl w:ilvl="0" w:tplc="A0B249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760C07AC"/>
    <w:multiLevelType w:val="hybridMultilevel"/>
    <w:tmpl w:val="652CAD4E"/>
    <w:lvl w:ilvl="0" w:tplc="7220C5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91"/>
    <w:rsid w:val="00077F7C"/>
    <w:rsid w:val="001149BA"/>
    <w:rsid w:val="00193EF2"/>
    <w:rsid w:val="00194691"/>
    <w:rsid w:val="00234E2E"/>
    <w:rsid w:val="002F2A32"/>
    <w:rsid w:val="00481364"/>
    <w:rsid w:val="004C3707"/>
    <w:rsid w:val="004D2398"/>
    <w:rsid w:val="00544370"/>
    <w:rsid w:val="005971FD"/>
    <w:rsid w:val="006565BE"/>
    <w:rsid w:val="00806EF5"/>
    <w:rsid w:val="00951F5B"/>
    <w:rsid w:val="00975756"/>
    <w:rsid w:val="009C5606"/>
    <w:rsid w:val="00AC7140"/>
    <w:rsid w:val="00F25F4F"/>
    <w:rsid w:val="00F57DCA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1A37-FF09-47A2-95C7-55C50C8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6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Заголовок Знак"/>
    <w:basedOn w:val="a0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193EF2"/>
    <w:rPr>
      <w:rFonts w:cs="Times New Roman"/>
      <w:b/>
      <w:bCs/>
    </w:rPr>
  </w:style>
  <w:style w:type="character" w:styleId="a6">
    <w:name w:val="Emphasis"/>
    <w:basedOn w:val="a0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basedOn w:val="a0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lang w:val="en-US" w:eastAsia="en-US"/>
    </w:rPr>
  </w:style>
  <w:style w:type="character" w:customStyle="1" w:styleId="a9">
    <w:name w:val="Подзаголовок Знак"/>
    <w:basedOn w:val="a0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21">
    <w:name w:val="Цитата 2 Знак"/>
    <w:basedOn w:val="a0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basedOn w:val="a0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basedOn w:val="a0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basedOn w:val="a0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basedOn w:val="a0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basedOn w:val="a0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paragraph" w:styleId="ab">
    <w:name w:val="footer"/>
    <w:basedOn w:val="a"/>
    <w:link w:val="ac"/>
    <w:semiHidden/>
    <w:rsid w:val="00194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194691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d">
    <w:name w:val="page number"/>
    <w:basedOn w:val="a0"/>
    <w:semiHidden/>
    <w:rsid w:val="00194691"/>
    <w:rPr>
      <w:rFonts w:cs="Times New Roman"/>
    </w:rPr>
  </w:style>
  <w:style w:type="character" w:customStyle="1" w:styleId="apple-converted-space">
    <w:name w:val="apple-converted-space"/>
    <w:basedOn w:val="a0"/>
    <w:rsid w:val="00194691"/>
    <w:rPr>
      <w:rFonts w:cs="Times New Roman"/>
    </w:rPr>
  </w:style>
  <w:style w:type="character" w:styleId="ae">
    <w:name w:val="Hyperlink"/>
    <w:basedOn w:val="a0"/>
    <w:semiHidden/>
    <w:rsid w:val="00194691"/>
    <w:rPr>
      <w:rFonts w:cs="Times New Roman"/>
      <w:color w:val="0000FF"/>
      <w:u w:val="single"/>
    </w:rPr>
  </w:style>
  <w:style w:type="paragraph" w:styleId="af">
    <w:name w:val="Normal (Web)"/>
    <w:basedOn w:val="a"/>
    <w:semiHidden/>
    <w:rsid w:val="00194691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firstpara">
    <w:name w:val="firstpara"/>
    <w:basedOn w:val="a"/>
    <w:rsid w:val="00194691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19469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194691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2">
    <w:name w:val="footnote reference"/>
    <w:basedOn w:val="a0"/>
    <w:semiHidden/>
    <w:rsid w:val="00194691"/>
    <w:rPr>
      <w:rFonts w:cs="Times New Roman"/>
      <w:vertAlign w:val="superscript"/>
    </w:rPr>
  </w:style>
  <w:style w:type="paragraph" w:styleId="af3">
    <w:name w:val="Body Text Indent"/>
    <w:basedOn w:val="a"/>
    <w:link w:val="af4"/>
    <w:semiHidden/>
    <w:rsid w:val="00194691"/>
    <w:pPr>
      <w:widowControl w:val="0"/>
      <w:shd w:val="clear" w:color="auto" w:fill="FFFFFF"/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locked/>
    <w:rsid w:val="00194691"/>
    <w:rPr>
      <w:rFonts w:ascii="Times New Roman" w:hAnsi="Times New Roman" w:cs="Times New Roman"/>
      <w:color w:val="000000"/>
      <w:sz w:val="20"/>
      <w:szCs w:val="20"/>
      <w:shd w:val="clear" w:color="auto" w:fill="FFFFFF"/>
      <w:lang w:val="ru-RU" w:eastAsia="ru-RU" w:bidi="ar-SA"/>
    </w:rPr>
  </w:style>
  <w:style w:type="paragraph" w:styleId="af5">
    <w:name w:val="header"/>
    <w:basedOn w:val="a"/>
    <w:link w:val="af6"/>
    <w:semiHidden/>
    <w:rsid w:val="00806E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locked/>
    <w:rsid w:val="00806EF5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93%D0%BE%D1%80%D0%BC%D0%BE%D0%BD" TargetMode="External"/><Relationship Id="rId2" Type="http://schemas.openxmlformats.org/officeDocument/2006/relationships/hyperlink" Target="http://ru.wikipedia.org/wiki/%D0%A5%D0%B8%D0%BC%D0%B8%D1%8F" TargetMode="External"/><Relationship Id="rId1" Type="http://schemas.openxmlformats.org/officeDocument/2006/relationships/hyperlink" Target="http://ru.wikipedia.org/wiki/%D0%9F%D0%B5%D1%87%D0%B5%D0%BD%D1%8C" TargetMode="External"/><Relationship Id="rId6" Type="http://schemas.openxmlformats.org/officeDocument/2006/relationships/hyperlink" Target="http://ru.wikipedia.org/wiki/%D0%96%D0%B5%D0%BB%D1%87%D1%8C" TargetMode="External"/><Relationship Id="rId5" Type="http://schemas.openxmlformats.org/officeDocument/2006/relationships/hyperlink" Target="http://ru.wikipedia.org/wiki/%D0%A3%D0%B3%D0%BB%D0%B5%D0%B2%D0%BE%D0%B4%D1%8B" TargetMode="External"/><Relationship Id="rId4" Type="http://schemas.openxmlformats.org/officeDocument/2006/relationships/hyperlink" Target="http://ru.wikipedia.org/wiki/%D0%9D%D0%B0%D0%B4%D0%BF%D0%BE%D1%87%D0%B5%D1%87%D0%BD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19024</CharactersWithSpaces>
  <SharedDoc>false</SharedDoc>
  <HLinks>
    <vt:vector size="36" baseType="variant"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http://ru.wikipedia.org/wiki/%D0%96%D0%B5%D0%BB%D1%87%D1%8C</vt:lpwstr>
      </vt:variant>
      <vt:variant>
        <vt:lpwstr/>
      </vt:variant>
      <vt:variant>
        <vt:i4>5242906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http://ru.wikipedia.org/wiki/%D0%A3%D0%B3%D0%BB%D0%B5%D0%B2%D0%BE%D0%B4%D1%8B</vt:lpwstr>
      </vt:variant>
      <vt:variant>
        <vt:lpwstr/>
      </vt:variant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http://ru.wikipedia.org/wiki/%D0%9D%D0%B0%D0%B4%D0%BF%D0%BE%D1%87%D0%B5%D1%87%D0%BD%D0%B8%D0%BA%D0%B8</vt:lpwstr>
      </vt:variant>
      <vt:variant>
        <vt:lpwstr/>
      </vt:variant>
      <vt:variant>
        <vt:i4>524366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http://ru.wikipedia.org/wiki/%D0%93%D0%BE%D1%80%D0%BC%D0%BE%D0%BD</vt:lpwstr>
      </vt:variant>
      <vt:variant>
        <vt:lpwstr/>
      </vt:variant>
      <vt:variant>
        <vt:i4>2555961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http://ru.wikipedia.org/wiki/%D0%A5%D0%B8%D0%BC%D0%B8%D1%8F</vt:lpwstr>
      </vt:variant>
      <vt:variant>
        <vt:lpwstr/>
      </vt:variant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http://ru.wikipedia.org/wiki/%D0%9F%D0%B5%D1%87%D0%B5%D0%BD%D1%8C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Natasha</dc:creator>
  <cp:keywords/>
  <dc:description/>
  <cp:lastModifiedBy>Igor</cp:lastModifiedBy>
  <cp:revision>3</cp:revision>
  <dcterms:created xsi:type="dcterms:W3CDTF">2024-11-01T07:31:00Z</dcterms:created>
  <dcterms:modified xsi:type="dcterms:W3CDTF">2024-11-01T07:31:00Z</dcterms:modified>
</cp:coreProperties>
</file>