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12" w:rsidRPr="009C0E12" w:rsidRDefault="00363047" w:rsidP="00D211D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bookmarkStart w:id="0" w:name="_GoBack"/>
      <w:bookmarkEnd w:id="0"/>
      <w:r w:rsidRPr="000426A1">
        <w:rPr>
          <w:b/>
        </w:rPr>
        <w:t xml:space="preserve">Фамилия, имя и отчество </w:t>
      </w:r>
    </w:p>
    <w:p w:rsidR="00363047" w:rsidRPr="000426A1" w:rsidRDefault="00363047" w:rsidP="00D211D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>Возраст</w:t>
      </w:r>
      <w:r>
        <w:rPr>
          <w:b/>
        </w:rPr>
        <w:t xml:space="preserve"> </w:t>
      </w:r>
      <w:r w:rsidR="0068680D">
        <w:t>43 года</w:t>
      </w:r>
    </w:p>
    <w:p w:rsidR="00363047" w:rsidRPr="000426A1" w:rsidRDefault="00363047" w:rsidP="00D211D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 xml:space="preserve">Пол </w:t>
      </w:r>
      <w:r>
        <w:t>мужской</w:t>
      </w:r>
    </w:p>
    <w:p w:rsidR="00363047" w:rsidRDefault="00363047" w:rsidP="00D211D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>
        <w:rPr>
          <w:b/>
        </w:rPr>
        <w:t>Дата</w:t>
      </w:r>
      <w:r w:rsidRPr="000426A1">
        <w:rPr>
          <w:b/>
        </w:rPr>
        <w:t xml:space="preserve"> поступления </w:t>
      </w:r>
    </w:p>
    <w:p w:rsidR="003C3DF9" w:rsidRPr="003C3DF9" w:rsidRDefault="00363047" w:rsidP="00D211D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>
        <w:rPr>
          <w:b/>
        </w:rPr>
        <w:t xml:space="preserve">Профессия: </w:t>
      </w:r>
    </w:p>
    <w:p w:rsidR="0004528D" w:rsidRPr="00363047" w:rsidRDefault="00363047" w:rsidP="00D211D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8E369B">
        <w:rPr>
          <w:b/>
        </w:rPr>
        <w:t>Клинический диагноз:</w:t>
      </w:r>
      <w:r>
        <w:t xml:space="preserve"> </w:t>
      </w:r>
      <w:r w:rsidR="00A21CE3">
        <w:t>Мочекаменная болезнь</w:t>
      </w:r>
      <w:r w:rsidR="002373F5">
        <w:t xml:space="preserve"> левой почки. Опухоль мочевого пузыря</w:t>
      </w:r>
      <w:r w:rsidR="00C11DDB">
        <w:t>.</w:t>
      </w:r>
    </w:p>
    <w:p w:rsidR="00363047" w:rsidRDefault="00363047" w:rsidP="00D211D1">
      <w:pPr>
        <w:jc w:val="both"/>
      </w:pPr>
    </w:p>
    <w:p w:rsidR="00D211D1" w:rsidRDefault="00D211D1" w:rsidP="00D211D1">
      <w:pPr>
        <w:jc w:val="both"/>
        <w:rPr>
          <w:b/>
        </w:rPr>
      </w:pPr>
    </w:p>
    <w:p w:rsidR="00363047" w:rsidRDefault="00363047" w:rsidP="00D211D1">
      <w:pPr>
        <w:jc w:val="both"/>
        <w:rPr>
          <w:b/>
        </w:rPr>
      </w:pPr>
      <w:r w:rsidRPr="000C2376">
        <w:rPr>
          <w:b/>
          <w:i/>
        </w:rPr>
        <w:t>Жалобы при поступлении</w:t>
      </w:r>
      <w:r>
        <w:rPr>
          <w:b/>
        </w:rPr>
        <w:t>:</w:t>
      </w:r>
    </w:p>
    <w:p w:rsidR="00363047" w:rsidRDefault="00363047" w:rsidP="00D211D1">
      <w:pPr>
        <w:jc w:val="both"/>
      </w:pPr>
      <w:r>
        <w:t>На тупые ноющие боли в области поясницы.</w:t>
      </w:r>
    </w:p>
    <w:p w:rsidR="003C3DF9" w:rsidRDefault="003C3DF9" w:rsidP="00D211D1">
      <w:pPr>
        <w:jc w:val="both"/>
        <w:rPr>
          <w:b/>
        </w:rPr>
      </w:pPr>
    </w:p>
    <w:p w:rsidR="00363047" w:rsidRPr="000C2376" w:rsidRDefault="00363047" w:rsidP="00D211D1">
      <w:pPr>
        <w:jc w:val="both"/>
        <w:rPr>
          <w:b/>
          <w:i/>
        </w:rPr>
      </w:pPr>
      <w:r w:rsidRPr="000C2376">
        <w:rPr>
          <w:b/>
          <w:i/>
          <w:lang w:val="en-US"/>
        </w:rPr>
        <w:t>Anamnesis</w:t>
      </w:r>
      <w:r w:rsidRPr="000C2376">
        <w:rPr>
          <w:b/>
          <w:i/>
        </w:rPr>
        <w:t xml:space="preserve"> </w:t>
      </w:r>
      <w:proofErr w:type="spellStart"/>
      <w:r w:rsidRPr="000C2376">
        <w:rPr>
          <w:b/>
          <w:i/>
          <w:lang w:val="en-US"/>
        </w:rPr>
        <w:t>Morbi</w:t>
      </w:r>
      <w:proofErr w:type="spellEnd"/>
      <w:r w:rsidRPr="000C2376">
        <w:rPr>
          <w:b/>
          <w:i/>
        </w:rPr>
        <w:t>:</w:t>
      </w:r>
    </w:p>
    <w:p w:rsidR="00363047" w:rsidRDefault="00363047" w:rsidP="00D211D1">
      <w:pPr>
        <w:jc w:val="both"/>
      </w:pPr>
      <w:r>
        <w:t>В конце февраля 2008 года впервые возникла тупая боль в поясничной области слева, обследовался в поликлинике по месту жительства. При ультразвуковом исследовании был выявлен камень левой почки</w:t>
      </w:r>
      <w:r w:rsidR="003C3DF9">
        <w:t>, случайной находкой явилось обнаружение образования мочевого пузыря. Поступил в клинику урологии ММА для обследования и определения тактики лечения</w:t>
      </w:r>
    </w:p>
    <w:p w:rsidR="003C3DF9" w:rsidRDefault="003C3DF9" w:rsidP="00D211D1">
      <w:pPr>
        <w:jc w:val="both"/>
        <w:rPr>
          <w:b/>
        </w:rPr>
      </w:pPr>
    </w:p>
    <w:p w:rsidR="00363047" w:rsidRPr="000C2376" w:rsidRDefault="00363047" w:rsidP="00D211D1">
      <w:pPr>
        <w:jc w:val="both"/>
        <w:rPr>
          <w:b/>
          <w:i/>
        </w:rPr>
      </w:pPr>
      <w:r w:rsidRPr="000C2376">
        <w:rPr>
          <w:b/>
          <w:i/>
          <w:lang w:val="en-US"/>
        </w:rPr>
        <w:t>Anamnesis</w:t>
      </w:r>
      <w:r w:rsidRPr="000C2376">
        <w:rPr>
          <w:b/>
          <w:i/>
        </w:rPr>
        <w:t xml:space="preserve"> </w:t>
      </w:r>
      <w:r w:rsidRPr="000C2376">
        <w:rPr>
          <w:b/>
          <w:i/>
          <w:lang w:val="en-US"/>
        </w:rPr>
        <w:t>Vitae</w:t>
      </w:r>
      <w:r w:rsidRPr="000C2376">
        <w:rPr>
          <w:b/>
          <w:i/>
        </w:rPr>
        <w:t>:</w:t>
      </w:r>
    </w:p>
    <w:p w:rsidR="003C3DF9" w:rsidRDefault="003C3DF9" w:rsidP="00D211D1">
      <w:pPr>
        <w:jc w:val="both"/>
      </w:pPr>
      <w:r>
        <w:t>Рос и развивался соответственно возрасту. Туберкулез, гепатит, малярию – отрицает. Контакт с вредным производством также отрицает. В 1991 году было произведена операция по поводу геморроидальных узлов, в послеоперационном периоде возникла острая задержка мочеиспускания, произведена однократная катетеризация, после чего мочеиспускание восстановилось. Женат. Есть ребенок.</w:t>
      </w:r>
    </w:p>
    <w:p w:rsidR="003C3DF9" w:rsidRDefault="003C3DF9" w:rsidP="00D211D1">
      <w:pPr>
        <w:jc w:val="both"/>
      </w:pPr>
      <w:r>
        <w:t>Наследственный анамнез: не отягощен</w:t>
      </w:r>
    </w:p>
    <w:p w:rsidR="003C3DF9" w:rsidRDefault="003C3DF9" w:rsidP="00D211D1">
      <w:pPr>
        <w:jc w:val="both"/>
      </w:pPr>
      <w:r>
        <w:t>Материально-бытовые условия: хорошие</w:t>
      </w:r>
    </w:p>
    <w:p w:rsidR="003C3DF9" w:rsidRDefault="003C3DF9" w:rsidP="00D211D1">
      <w:pPr>
        <w:jc w:val="both"/>
      </w:pPr>
      <w:r>
        <w:t>Вредные привычки: курение, около 1 пачки в день.</w:t>
      </w:r>
    </w:p>
    <w:p w:rsidR="003C3DF9" w:rsidRDefault="00512246" w:rsidP="00D211D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Аллергологический анамнез: не отягощен</w:t>
      </w:r>
    </w:p>
    <w:p w:rsidR="00512246" w:rsidRPr="00512246" w:rsidRDefault="00512246" w:rsidP="00D211D1">
      <w:pPr>
        <w:jc w:val="both"/>
        <w:rPr>
          <w:rFonts w:ascii="Times New Roman CYR" w:hAnsi="Times New Roman CYR"/>
        </w:rPr>
      </w:pPr>
    </w:p>
    <w:p w:rsidR="00363047" w:rsidRPr="000C2376" w:rsidRDefault="00363047" w:rsidP="00D211D1">
      <w:pPr>
        <w:jc w:val="both"/>
        <w:rPr>
          <w:b/>
          <w:i/>
        </w:rPr>
      </w:pPr>
      <w:r w:rsidRPr="000C2376">
        <w:rPr>
          <w:b/>
          <w:i/>
          <w:lang w:val="en-US"/>
        </w:rPr>
        <w:t>Status</w:t>
      </w:r>
      <w:r w:rsidRPr="000C2376">
        <w:rPr>
          <w:b/>
          <w:i/>
        </w:rPr>
        <w:t xml:space="preserve"> </w:t>
      </w:r>
      <w:r w:rsidRPr="000C2376">
        <w:rPr>
          <w:b/>
          <w:i/>
          <w:lang w:val="en-US"/>
        </w:rPr>
        <w:t>Pr</w:t>
      </w:r>
      <w:r w:rsidR="004048DF">
        <w:rPr>
          <w:b/>
          <w:i/>
          <w:lang w:val="en-US"/>
        </w:rPr>
        <w:t>a</w:t>
      </w:r>
      <w:r w:rsidRPr="000C2376">
        <w:rPr>
          <w:b/>
          <w:i/>
          <w:lang w:val="en-US"/>
        </w:rPr>
        <w:t>esens</w:t>
      </w:r>
      <w:r w:rsidRPr="000C2376">
        <w:rPr>
          <w:b/>
          <w:i/>
        </w:rPr>
        <w:t>:</w:t>
      </w:r>
    </w:p>
    <w:p w:rsidR="00363047" w:rsidRPr="000426A1" w:rsidRDefault="00363047" w:rsidP="00D211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Общее состояние:</w:t>
      </w:r>
      <w:r w:rsidR="003C3DF9">
        <w:rPr>
          <w:rFonts w:ascii="Times New Roman CYR" w:hAnsi="Times New Roman CYR"/>
        </w:rPr>
        <w:t xml:space="preserve"> удовлетворительное</w:t>
      </w:r>
      <w:r w:rsidRPr="000426A1">
        <w:rPr>
          <w:rFonts w:ascii="Times New Roman CYR" w:hAnsi="Times New Roman CYR"/>
        </w:rPr>
        <w:t>. Сознание ясное. Положение</w:t>
      </w:r>
      <w:r>
        <w:rPr>
          <w:rFonts w:ascii="Times New Roman CYR" w:hAnsi="Times New Roman CYR"/>
        </w:rPr>
        <w:t xml:space="preserve"> активное</w:t>
      </w:r>
      <w:r w:rsidRPr="000426A1">
        <w:rPr>
          <w:rFonts w:ascii="Times New Roman CYR" w:hAnsi="Times New Roman CYR"/>
        </w:rPr>
        <w:t xml:space="preserve">. </w:t>
      </w:r>
    </w:p>
    <w:p w:rsidR="00363047" w:rsidRPr="000426A1" w:rsidRDefault="00363047" w:rsidP="00D211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Выражение лица:</w:t>
      </w:r>
      <w:r w:rsidRPr="000426A1">
        <w:rPr>
          <w:rFonts w:ascii="Times New Roman CYR" w:hAnsi="Times New Roman CYR"/>
        </w:rPr>
        <w:t xml:space="preserve"> спокойное.</w:t>
      </w:r>
    </w:p>
    <w:p w:rsidR="00363047" w:rsidRPr="000426A1" w:rsidRDefault="00363047" w:rsidP="00D211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 xml:space="preserve">Нарушение осанки </w:t>
      </w:r>
      <w:r w:rsidRPr="000426A1">
        <w:rPr>
          <w:rFonts w:ascii="Times New Roman CYR" w:hAnsi="Times New Roman CYR"/>
        </w:rPr>
        <w:t>не выявлено, походка не нарушена.</w:t>
      </w:r>
    </w:p>
    <w:p w:rsidR="00363047" w:rsidRDefault="00363047" w:rsidP="00D211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Телосложение правильное</w:t>
      </w:r>
      <w:r w:rsidRPr="000426A1">
        <w:rPr>
          <w:rFonts w:ascii="Times New Roman CYR" w:hAnsi="Times New Roman CYR"/>
        </w:rPr>
        <w:t xml:space="preserve">. Конституция </w:t>
      </w:r>
      <w:proofErr w:type="spellStart"/>
      <w:r w:rsidRPr="000426A1">
        <w:rPr>
          <w:rFonts w:ascii="Times New Roman CYR" w:hAnsi="Times New Roman CYR"/>
        </w:rPr>
        <w:t>нормостеническая</w:t>
      </w:r>
      <w:proofErr w:type="spellEnd"/>
    </w:p>
    <w:p w:rsidR="00363047" w:rsidRPr="000426A1" w:rsidRDefault="00363047" w:rsidP="00D211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Кожные покровы:</w:t>
      </w:r>
      <w:r>
        <w:rPr>
          <w:rFonts w:ascii="Times New Roman CYR" w:hAnsi="Times New Roman CYR"/>
        </w:rPr>
        <w:t xml:space="preserve"> обычной окраски,</w:t>
      </w:r>
      <w:r w:rsidRPr="000426A1">
        <w:rPr>
          <w:rFonts w:ascii="Times New Roman CYR" w:hAnsi="Times New Roman CYR"/>
        </w:rPr>
        <w:t xml:space="preserve"> чистые, сухие, тургор не снижен.</w:t>
      </w:r>
    </w:p>
    <w:p w:rsidR="00363047" w:rsidRPr="000426A1" w:rsidRDefault="00363047" w:rsidP="00D211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Ногтевые пластинки нормальной прозрачности, поверхность ровная. Рост волос не нарушен.</w:t>
      </w:r>
    </w:p>
    <w:p w:rsidR="003C3DF9" w:rsidRPr="003C3DF9" w:rsidRDefault="003C3DF9" w:rsidP="00D211D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 xml:space="preserve">Видимые слизистые оболочки: </w:t>
      </w:r>
      <w:r>
        <w:rPr>
          <w:rFonts w:ascii="Times New Roman CYR" w:hAnsi="Times New Roman CYR"/>
        </w:rPr>
        <w:t>бледно-розовый окраски, чистые, влажные</w:t>
      </w:r>
    </w:p>
    <w:p w:rsidR="003C3DF9" w:rsidRDefault="00363047" w:rsidP="00D211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Подкожная клетчатка:</w:t>
      </w:r>
      <w:r w:rsidRPr="000426A1">
        <w:rPr>
          <w:rFonts w:ascii="Times New Roman CYR" w:hAnsi="Times New Roman CYR"/>
        </w:rPr>
        <w:t xml:space="preserve"> распределена равномерно. </w:t>
      </w:r>
    </w:p>
    <w:p w:rsidR="00363047" w:rsidRPr="000426A1" w:rsidRDefault="00363047" w:rsidP="00D211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Лимфатическая система</w:t>
      </w:r>
      <w:r w:rsidRPr="000426A1">
        <w:rPr>
          <w:rFonts w:ascii="Times New Roman CYR" w:hAnsi="Times New Roman CYR"/>
        </w:rPr>
        <w:t xml:space="preserve">.: лимфоузлы </w:t>
      </w:r>
      <w:r w:rsidR="003C3DF9">
        <w:rPr>
          <w:rFonts w:ascii="Times New Roman CYR" w:hAnsi="Times New Roman CYR"/>
        </w:rPr>
        <w:t>не увеличены, безболезненные при пальпации, не спаяны между собой и с кожей. Отеков и пастозностей нет.</w:t>
      </w:r>
    </w:p>
    <w:p w:rsidR="00363047" w:rsidRPr="000426A1" w:rsidRDefault="00363047" w:rsidP="00D211D1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 xml:space="preserve">Мышечная и костно-суставная система. </w:t>
      </w:r>
      <w:r w:rsidRPr="000426A1">
        <w:rPr>
          <w:rFonts w:ascii="Times New Roman CYR" w:hAnsi="Times New Roman CYR"/>
        </w:rPr>
        <w:t xml:space="preserve">Костно-мышечный аппарат без видимых изменений, мышцы безболезненны. </w:t>
      </w:r>
      <w:r w:rsidRPr="000426A1">
        <w:t>Суставы имеют нормальную конфигурацию; припухлости, деформации, безболезненности при пальпации, покраснения кожных покр</w:t>
      </w:r>
      <w:r w:rsidRPr="000426A1">
        <w:t>о</w:t>
      </w:r>
      <w:r w:rsidRPr="000426A1">
        <w:t>вов в области суставов, изменений околосуставных тканей не наблюдается. Бол</w:t>
      </w:r>
      <w:r w:rsidRPr="000426A1">
        <w:t>е</w:t>
      </w:r>
      <w:r w:rsidRPr="000426A1">
        <w:t>вые ощущения, хруст и крепитация при движениях отсутствуют.</w:t>
      </w:r>
    </w:p>
    <w:p w:rsidR="00363047" w:rsidRDefault="00363047" w:rsidP="00D211D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BD36FD" w:rsidRPr="00BD36FD" w:rsidRDefault="00D211D1" w:rsidP="00D211D1">
      <w:pPr>
        <w:pStyle w:val="Noy0ee8eu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 w:rsidR="00BD36FD" w:rsidRPr="00BD36FD">
        <w:rPr>
          <w:b/>
          <w:sz w:val="24"/>
          <w:szCs w:val="24"/>
          <w:u w:val="single"/>
        </w:rPr>
        <w:t xml:space="preserve">Система дыхания:. </w:t>
      </w:r>
    </w:p>
    <w:p w:rsidR="00BD36FD" w:rsidRPr="00336845" w:rsidRDefault="00BD36FD" w:rsidP="00D211D1">
      <w:pPr>
        <w:jc w:val="both"/>
      </w:pPr>
      <w:r>
        <w:t xml:space="preserve">1. </w:t>
      </w:r>
      <w:r w:rsidRPr="00336845">
        <w:rPr>
          <w:i/>
        </w:rPr>
        <w:t xml:space="preserve">Форма </w:t>
      </w:r>
      <w:r w:rsidRPr="00336845">
        <w:t>грудной клетки – обычная.</w:t>
      </w:r>
    </w:p>
    <w:p w:rsidR="00BD36FD" w:rsidRDefault="00BD36FD" w:rsidP="00D211D1">
      <w:pPr>
        <w:jc w:val="both"/>
      </w:pPr>
      <w:r w:rsidRPr="00336845">
        <w:t xml:space="preserve">2. </w:t>
      </w:r>
      <w:r w:rsidRPr="00336845">
        <w:rPr>
          <w:i/>
        </w:rPr>
        <w:t>Частота дыхания</w:t>
      </w:r>
      <w:r>
        <w:t xml:space="preserve"> </w:t>
      </w:r>
      <w:r>
        <w:rPr>
          <w:b/>
        </w:rPr>
        <w:t xml:space="preserve">– </w:t>
      </w:r>
      <w:r>
        <w:t xml:space="preserve">16 </w:t>
      </w:r>
      <w:proofErr w:type="spellStart"/>
      <w:r>
        <w:t>движ</w:t>
      </w:r>
      <w:proofErr w:type="spellEnd"/>
      <w:r>
        <w:t xml:space="preserve">/мин, равномерное участие в дыхании обеих половин грудной клетки, тип дыхания </w:t>
      </w:r>
      <w:r>
        <w:rPr>
          <w:b/>
        </w:rPr>
        <w:t xml:space="preserve">– </w:t>
      </w:r>
      <w:r>
        <w:t>брюшной. Дыхание нормальной глубины, ритмичное.</w:t>
      </w:r>
    </w:p>
    <w:p w:rsidR="00BD36FD" w:rsidRDefault="00BD36FD" w:rsidP="00D211D1">
      <w:pPr>
        <w:jc w:val="both"/>
      </w:pPr>
      <w:r>
        <w:rPr>
          <w:i/>
        </w:rPr>
        <w:t>3. Пальпация грудной клетки</w:t>
      </w:r>
      <w:r>
        <w:t xml:space="preserve">: болевые точки не выявлены, эластичная, голосовое дрожание в симметричных участках </w:t>
      </w:r>
      <w:r>
        <w:rPr>
          <w:b/>
        </w:rPr>
        <w:t xml:space="preserve">– </w:t>
      </w:r>
      <w:r>
        <w:t xml:space="preserve">одинаковой силы, не усилено. </w:t>
      </w:r>
    </w:p>
    <w:p w:rsidR="00BD36FD" w:rsidRPr="000D0DF9" w:rsidRDefault="00BD36FD" w:rsidP="00D211D1">
      <w:pPr>
        <w:jc w:val="both"/>
      </w:pPr>
      <w:r>
        <w:rPr>
          <w:i/>
        </w:rPr>
        <w:t>4. Сравнительная перкуссия</w:t>
      </w:r>
      <w:r>
        <w:t>:  над передними, боковыми, задними отделами грудной клетки в симметричных участках перкуторный звук одинаковый, легочный.</w:t>
      </w:r>
    </w:p>
    <w:p w:rsidR="00BD36FD" w:rsidRDefault="00BD36FD" w:rsidP="00D211D1">
      <w:pPr>
        <w:jc w:val="both"/>
      </w:pPr>
      <w:r>
        <w:rPr>
          <w:i/>
        </w:rPr>
        <w:t xml:space="preserve">5. Топографическая перкуссия легких: </w:t>
      </w:r>
      <w:r>
        <w:t>соответствует норме</w:t>
      </w:r>
    </w:p>
    <w:p w:rsidR="00BD36FD" w:rsidRPr="000D0DF9" w:rsidRDefault="00BD36FD" w:rsidP="00D211D1">
      <w:pPr>
        <w:jc w:val="both"/>
      </w:pPr>
      <w:r>
        <w:rPr>
          <w:i/>
        </w:rPr>
        <w:t>6</w:t>
      </w:r>
      <w:r>
        <w:t xml:space="preserve">. </w:t>
      </w:r>
      <w:r w:rsidRPr="000D0DF9">
        <w:rPr>
          <w:i/>
        </w:rPr>
        <w:t>Аускультация легких</w:t>
      </w:r>
      <w:r>
        <w:t>:</w:t>
      </w:r>
      <w:r w:rsidRPr="000D0DF9">
        <w:t xml:space="preserve"> при аускультации над легочными полями справа и слева дыхание везикулярное. Дыхание проводится во все отделы легких. Хрипы не выслушиваются. Шум трения плевры, крепитация не выслушиваются.</w:t>
      </w:r>
    </w:p>
    <w:p w:rsidR="00BD36FD" w:rsidRPr="00BD36FD" w:rsidRDefault="00BD36FD" w:rsidP="00D211D1">
      <w:pPr>
        <w:ind w:firstLine="567"/>
        <w:jc w:val="both"/>
        <w:rPr>
          <w:b/>
          <w:u w:val="single"/>
        </w:rPr>
      </w:pPr>
      <w:r w:rsidRPr="00BD36FD">
        <w:rPr>
          <w:b/>
          <w:u w:val="single"/>
        </w:rPr>
        <w:lastRenderedPageBreak/>
        <w:t>Сердечно-сосудистая система: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 xml:space="preserve">1. </w:t>
      </w:r>
      <w:r w:rsidRPr="00EA523D">
        <w:rPr>
          <w:i/>
          <w:sz w:val="24"/>
        </w:rPr>
        <w:t>Осмотр грудной клетки,</w:t>
      </w:r>
      <w:r>
        <w:rPr>
          <w:sz w:val="24"/>
        </w:rPr>
        <w:t xml:space="preserve"> сосудов шеи - видимой пульсации нет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Пальпация верхушечного толчка – не пальпируется</w:t>
      </w:r>
    </w:p>
    <w:p w:rsidR="00BD36FD" w:rsidRDefault="00BD36FD" w:rsidP="00D211D1">
      <w:pPr>
        <w:pStyle w:val="Noy0ee8eu"/>
        <w:jc w:val="both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 xml:space="preserve">Перкуссия сердца: </w:t>
      </w:r>
      <w:r w:rsidRPr="000D0DF9">
        <w:rPr>
          <w:sz w:val="24"/>
        </w:rPr>
        <w:t>границы относительной и абсолютной тупости сердца в норме</w:t>
      </w:r>
      <w:r>
        <w:rPr>
          <w:i/>
          <w:sz w:val="24"/>
        </w:rPr>
        <w:t>.</w:t>
      </w:r>
    </w:p>
    <w:p w:rsidR="00D211D1" w:rsidRDefault="00BD36FD" w:rsidP="00D211D1">
      <w:pPr>
        <w:pStyle w:val="Noy0ee8eu"/>
        <w:jc w:val="both"/>
        <w:rPr>
          <w:i/>
          <w:sz w:val="24"/>
        </w:rPr>
      </w:pPr>
      <w:r>
        <w:rPr>
          <w:sz w:val="24"/>
        </w:rPr>
        <w:t xml:space="preserve">3. </w:t>
      </w:r>
      <w:r w:rsidRPr="000D0DF9">
        <w:rPr>
          <w:i/>
          <w:sz w:val="24"/>
        </w:rPr>
        <w:t>Аускультация сердца:</w:t>
      </w:r>
      <w:r>
        <w:rPr>
          <w:sz w:val="24"/>
        </w:rPr>
        <w:t xml:space="preserve"> тоны  ясные, ритмичные, соотношение сохранено</w:t>
      </w:r>
    </w:p>
    <w:p w:rsidR="00D211D1" w:rsidRDefault="00BD36FD" w:rsidP="00D211D1">
      <w:pPr>
        <w:pStyle w:val="Noy0ee8eu"/>
        <w:jc w:val="both"/>
        <w:rPr>
          <w:i/>
          <w:sz w:val="24"/>
        </w:rPr>
      </w:pPr>
      <w:r>
        <w:rPr>
          <w:sz w:val="24"/>
        </w:rPr>
        <w:t xml:space="preserve"> 4. </w:t>
      </w:r>
      <w:r w:rsidRPr="000D0DF9">
        <w:rPr>
          <w:i/>
          <w:sz w:val="24"/>
        </w:rPr>
        <w:t>Аорта и сосуды</w:t>
      </w:r>
      <w:r>
        <w:rPr>
          <w:sz w:val="24"/>
        </w:rPr>
        <w:t>: видимой пульсации аорты, расширения вен —  не обнаружено</w:t>
      </w:r>
    </w:p>
    <w:p w:rsidR="00BD36FD" w:rsidRPr="00D211D1" w:rsidRDefault="00D211D1" w:rsidP="00D211D1">
      <w:pPr>
        <w:pStyle w:val="Noy0ee8eu"/>
        <w:jc w:val="both"/>
        <w:rPr>
          <w:i/>
          <w:sz w:val="24"/>
        </w:rPr>
      </w:pPr>
      <w:r>
        <w:rPr>
          <w:i/>
          <w:sz w:val="24"/>
        </w:rPr>
        <w:t>5.</w:t>
      </w:r>
      <w:r w:rsidR="00BD36FD" w:rsidRPr="000D0DF9">
        <w:rPr>
          <w:i/>
          <w:sz w:val="24"/>
        </w:rPr>
        <w:t>Пульс</w:t>
      </w:r>
      <w:r w:rsidR="00BD36FD">
        <w:rPr>
          <w:sz w:val="24"/>
        </w:rPr>
        <w:t>: на лучевой артерии – ритмичный, частота — 70 уд/мин, умеренного на</w:t>
      </w:r>
      <w:r w:rsidR="004048DF">
        <w:rPr>
          <w:sz w:val="24"/>
        </w:rPr>
        <w:t>пряжения и наполнения, одинаков</w:t>
      </w:r>
      <w:r w:rsidR="00BD36FD">
        <w:rPr>
          <w:sz w:val="24"/>
        </w:rPr>
        <w:t xml:space="preserve">ый на обеих руках, стенка сосуда эластичная. 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– на тыльных артериях стоп - пульсация сохранена</w:t>
      </w:r>
    </w:p>
    <w:p w:rsidR="00BD36FD" w:rsidRPr="000D0DF9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 xml:space="preserve">  6. </w:t>
      </w:r>
      <w:r w:rsidRPr="000D0DF9">
        <w:rPr>
          <w:i/>
          <w:sz w:val="24"/>
        </w:rPr>
        <w:t>Артериальное кровяное давление</w:t>
      </w:r>
      <w:r>
        <w:rPr>
          <w:sz w:val="24"/>
        </w:rPr>
        <w:t>: 120</w:t>
      </w:r>
      <w:r w:rsidRPr="000D0DF9">
        <w:rPr>
          <w:sz w:val="24"/>
        </w:rPr>
        <w:t>/</w:t>
      </w:r>
      <w:r>
        <w:rPr>
          <w:sz w:val="24"/>
        </w:rPr>
        <w:t xml:space="preserve">80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 xml:space="preserve"> на правой руке и 120</w:t>
      </w:r>
      <w:r w:rsidRPr="000D0DF9">
        <w:rPr>
          <w:sz w:val="24"/>
        </w:rPr>
        <w:t>/</w:t>
      </w:r>
      <w:r>
        <w:rPr>
          <w:sz w:val="24"/>
        </w:rPr>
        <w:t xml:space="preserve">80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 xml:space="preserve"> на левой руке.</w:t>
      </w:r>
    </w:p>
    <w:p w:rsidR="00BD36FD" w:rsidRPr="00BD36FD" w:rsidRDefault="00BD36FD" w:rsidP="00D211D1">
      <w:pPr>
        <w:pStyle w:val="Noy0ee8eu"/>
        <w:ind w:firstLine="567"/>
        <w:jc w:val="both"/>
        <w:rPr>
          <w:b/>
          <w:sz w:val="24"/>
          <w:szCs w:val="24"/>
          <w:u w:val="single"/>
        </w:rPr>
      </w:pPr>
      <w:r w:rsidRPr="00BD36FD">
        <w:rPr>
          <w:b/>
          <w:sz w:val="24"/>
          <w:szCs w:val="24"/>
          <w:u w:val="single"/>
        </w:rPr>
        <w:t>Пищеварительная система: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 xml:space="preserve">1. </w:t>
      </w:r>
      <w:r w:rsidRPr="00435410">
        <w:rPr>
          <w:i/>
          <w:sz w:val="24"/>
        </w:rPr>
        <w:t>Живот</w:t>
      </w:r>
      <w:r>
        <w:rPr>
          <w:sz w:val="24"/>
        </w:rPr>
        <w:t xml:space="preserve"> – не увеличен, развитие подкожно-жировой клетчатки — умеренное. При  поверхностной   пальпации болезненности  нет, тонус брюшных мышц умеренный, дыхательные движения обеих половин брюшной стенки симметричные, видимой перистальтики нет, активно участвует в акте дыхания</w:t>
      </w:r>
    </w:p>
    <w:p w:rsidR="00BD36FD" w:rsidRDefault="00BD36FD" w:rsidP="00D211D1">
      <w:pPr>
        <w:pStyle w:val="Noy0ee8eu"/>
        <w:jc w:val="both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Желудок: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Видимой перистальтики – нет</w:t>
      </w:r>
    </w:p>
    <w:p w:rsidR="00BD36FD" w:rsidRDefault="00BD36FD" w:rsidP="00D211D1">
      <w:pPr>
        <w:pStyle w:val="Noy0ee8eu"/>
        <w:jc w:val="both"/>
        <w:rPr>
          <w:i/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 xml:space="preserve">Кишечник: </w:t>
      </w:r>
      <w:r>
        <w:rPr>
          <w:sz w:val="24"/>
        </w:rPr>
        <w:t>все области кишечника, доступные пальпации (слепая кишка; восходящий, поперечно-ободочный и нисходящий отделы толстого кишечника, сигмовидная кишка) при исследовании – эластичные, безболезненные, расположены правильно.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Поджелудочная железа</w:t>
      </w:r>
      <w:r>
        <w:rPr>
          <w:sz w:val="24"/>
        </w:rPr>
        <w:t xml:space="preserve"> не пальпируется</w:t>
      </w:r>
    </w:p>
    <w:p w:rsidR="00BD36FD" w:rsidRDefault="00BD36FD" w:rsidP="00D211D1">
      <w:pPr>
        <w:pStyle w:val="Noy0ee8eu"/>
        <w:jc w:val="both"/>
        <w:rPr>
          <w:i/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Печень:</w:t>
      </w:r>
    </w:p>
    <w:p w:rsidR="00BD36FD" w:rsidRPr="00435410" w:rsidRDefault="00BD36FD" w:rsidP="00D211D1">
      <w:pPr>
        <w:pStyle w:val="Noy0ee8eu"/>
        <w:jc w:val="both"/>
        <w:rPr>
          <w:sz w:val="24"/>
        </w:rPr>
      </w:pPr>
      <w:r w:rsidRPr="00435410">
        <w:rPr>
          <w:sz w:val="24"/>
        </w:rPr>
        <w:t>Размеры печени по М.Г.Курлову: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 xml:space="preserve">– от верхней границы по  </w:t>
      </w:r>
      <w:proofErr w:type="spellStart"/>
      <w:r>
        <w:rPr>
          <w:sz w:val="24"/>
        </w:rPr>
        <w:t>срединноключичной</w:t>
      </w:r>
      <w:proofErr w:type="spellEnd"/>
      <w:r>
        <w:rPr>
          <w:sz w:val="24"/>
        </w:rPr>
        <w:t xml:space="preserve"> линии до нижней 9,5см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 xml:space="preserve">– от основания мечевидного отростка до нижней границы по срединной линии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</w:rPr>
          <w:t>9 см</w:t>
        </w:r>
      </w:smartTag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 xml:space="preserve">– от основания мечевидного отростка до левой границы 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</w:p>
    <w:p w:rsidR="00BD36FD" w:rsidRDefault="00D211D1" w:rsidP="00D211D1">
      <w:pPr>
        <w:pStyle w:val="Noy0ee8eu"/>
        <w:jc w:val="both"/>
        <w:rPr>
          <w:sz w:val="24"/>
        </w:rPr>
      </w:pPr>
      <w:r>
        <w:rPr>
          <w:i/>
          <w:sz w:val="24"/>
        </w:rPr>
        <w:t>6.</w:t>
      </w:r>
      <w:r w:rsidR="00BD36FD">
        <w:rPr>
          <w:i/>
          <w:sz w:val="24"/>
        </w:rPr>
        <w:t xml:space="preserve">Желчный пузырь — </w:t>
      </w:r>
      <w:r w:rsidR="00BD36FD">
        <w:rPr>
          <w:sz w:val="24"/>
        </w:rPr>
        <w:t>не пальпируется, что соответствует норме.</w:t>
      </w:r>
    </w:p>
    <w:p w:rsidR="00BD36FD" w:rsidRPr="00BD36FD" w:rsidRDefault="00BD36FD" w:rsidP="00D211D1">
      <w:pPr>
        <w:pStyle w:val="Noy0ee8eu"/>
        <w:jc w:val="both"/>
        <w:rPr>
          <w:b/>
          <w:sz w:val="24"/>
          <w:szCs w:val="24"/>
          <w:u w:val="single"/>
        </w:rPr>
      </w:pPr>
      <w:r w:rsidRPr="00BD36FD">
        <w:rPr>
          <w:b/>
          <w:sz w:val="28"/>
          <w:szCs w:val="28"/>
        </w:rPr>
        <w:t xml:space="preserve">       </w:t>
      </w:r>
      <w:r w:rsidRPr="00BD36FD">
        <w:rPr>
          <w:b/>
          <w:sz w:val="24"/>
          <w:szCs w:val="24"/>
          <w:u w:val="single"/>
        </w:rPr>
        <w:t>Селезенка:</w:t>
      </w:r>
    </w:p>
    <w:p w:rsidR="00BD36FD" w:rsidRPr="00435410" w:rsidRDefault="00BD36FD" w:rsidP="00D211D1">
      <w:pPr>
        <w:pStyle w:val="a3"/>
        <w:rPr>
          <w:rFonts w:ascii="Times New Roman CYR" w:hAnsi="Times New Roman CYR"/>
          <w:sz w:val="24"/>
          <w:szCs w:val="24"/>
        </w:rPr>
      </w:pPr>
      <w:r w:rsidRPr="00435410">
        <w:rPr>
          <w:sz w:val="24"/>
          <w:szCs w:val="24"/>
        </w:rPr>
        <w:t xml:space="preserve">Не </w:t>
      </w:r>
      <w:r w:rsidR="004048DF" w:rsidRPr="00435410">
        <w:rPr>
          <w:sz w:val="24"/>
          <w:szCs w:val="24"/>
        </w:rPr>
        <w:t>пальпируется</w:t>
      </w:r>
      <w:r w:rsidRPr="00435410">
        <w:rPr>
          <w:sz w:val="24"/>
          <w:szCs w:val="24"/>
        </w:rPr>
        <w:t xml:space="preserve">. Перкуторно размеры </w:t>
      </w:r>
      <w:proofErr w:type="spellStart"/>
      <w:r w:rsidRPr="00435410">
        <w:rPr>
          <w:sz w:val="24"/>
          <w:szCs w:val="24"/>
        </w:rPr>
        <w:t>длинника</w:t>
      </w:r>
      <w:proofErr w:type="spellEnd"/>
      <w:r w:rsidRPr="00435410">
        <w:rPr>
          <w:sz w:val="24"/>
          <w:szCs w:val="24"/>
        </w:rPr>
        <w:t xml:space="preserve"> селезенки – </w:t>
      </w:r>
      <w:smartTag w:uri="urn:schemas-microsoft-com:office:smarttags" w:element="metricconverter">
        <w:smartTagPr>
          <w:attr w:name="ProductID" w:val="12 см"/>
        </w:smartTagPr>
        <w:r w:rsidRPr="00435410">
          <w:rPr>
            <w:sz w:val="24"/>
            <w:szCs w:val="24"/>
          </w:rPr>
          <w:t>12 см</w:t>
        </w:r>
      </w:smartTag>
      <w:r w:rsidRPr="00435410">
        <w:rPr>
          <w:sz w:val="24"/>
          <w:szCs w:val="24"/>
        </w:rPr>
        <w:t xml:space="preserve">, поперечника – </w:t>
      </w:r>
      <w:smartTag w:uri="urn:schemas-microsoft-com:office:smarttags" w:element="metricconverter">
        <w:smartTagPr>
          <w:attr w:name="ProductID" w:val="5 см"/>
        </w:smartTagPr>
        <w:r w:rsidRPr="00435410">
          <w:rPr>
            <w:sz w:val="24"/>
            <w:szCs w:val="24"/>
          </w:rPr>
          <w:t>5 см</w:t>
        </w:r>
      </w:smartTag>
      <w:r w:rsidRPr="00435410">
        <w:rPr>
          <w:sz w:val="24"/>
          <w:szCs w:val="24"/>
        </w:rPr>
        <w:t>.</w:t>
      </w:r>
    </w:p>
    <w:p w:rsidR="00BD36FD" w:rsidRPr="00BD36FD" w:rsidRDefault="00D211D1" w:rsidP="00D211D1">
      <w:pPr>
        <w:pStyle w:val="Noy0ee8eu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BD36FD" w:rsidRPr="00BD36FD">
        <w:rPr>
          <w:b/>
          <w:sz w:val="24"/>
          <w:szCs w:val="24"/>
          <w:u w:val="single"/>
        </w:rPr>
        <w:t>Мочеполовая система: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Симптом  Пастернацкого (поколачивания) – отрицательный.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Пальпация почек – не пальпируются.</w:t>
      </w:r>
    </w:p>
    <w:p w:rsidR="00BD36FD" w:rsidRPr="00435410" w:rsidRDefault="00BD36FD" w:rsidP="00D211D1">
      <w:pPr>
        <w:pStyle w:val="Noy0ee8eu"/>
        <w:jc w:val="both"/>
        <w:rPr>
          <w:sz w:val="24"/>
        </w:rPr>
      </w:pPr>
      <w:proofErr w:type="spellStart"/>
      <w:r>
        <w:rPr>
          <w:sz w:val="24"/>
        </w:rPr>
        <w:t>Дизурические</w:t>
      </w:r>
      <w:proofErr w:type="spellEnd"/>
      <w:r>
        <w:rPr>
          <w:sz w:val="24"/>
        </w:rPr>
        <w:t xml:space="preserve"> явления – не выявлены.</w:t>
      </w:r>
    </w:p>
    <w:p w:rsidR="00BD36FD" w:rsidRPr="00BD36FD" w:rsidRDefault="00BD36FD" w:rsidP="00D211D1">
      <w:pPr>
        <w:pStyle w:val="Noy0ee8eu"/>
        <w:jc w:val="both"/>
        <w:rPr>
          <w:b/>
          <w:sz w:val="24"/>
          <w:szCs w:val="24"/>
          <w:u w:val="single"/>
        </w:rPr>
      </w:pPr>
      <w:r w:rsidRPr="00BD36FD">
        <w:rPr>
          <w:b/>
          <w:sz w:val="28"/>
          <w:szCs w:val="28"/>
        </w:rPr>
        <w:t xml:space="preserve">        </w:t>
      </w:r>
      <w:r w:rsidRPr="00BD36FD">
        <w:rPr>
          <w:b/>
          <w:sz w:val="24"/>
          <w:szCs w:val="24"/>
          <w:u w:val="single"/>
        </w:rPr>
        <w:t>Нервная система и органы чувств:.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Интеллект - не снижен.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Настроение – устойчивое.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Реакция на окружающее -  адекватная, без раздражительности.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Головные боли,  головокружение - не отмечено.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Сон – глубокий.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Речь - без нарушений.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Координация движений – сохранена.</w:t>
      </w:r>
    </w:p>
    <w:p w:rsidR="00BD36FD" w:rsidRPr="00EA523D" w:rsidRDefault="00BD36FD" w:rsidP="00D211D1">
      <w:pPr>
        <w:pStyle w:val="Noy0ee8eu"/>
        <w:jc w:val="both"/>
        <w:rPr>
          <w:sz w:val="24"/>
        </w:rPr>
      </w:pPr>
      <w:r w:rsidRPr="00EA523D">
        <w:rPr>
          <w:sz w:val="24"/>
        </w:rPr>
        <w:t>При исследовании черепно-мозговых нервов, двигательной и рефлекторной сфер патологических изменений не выявлено. Нарушений чувствительности не отмечается.</w:t>
      </w:r>
    </w:p>
    <w:p w:rsidR="00BD36FD" w:rsidRDefault="00BD36FD" w:rsidP="00D211D1">
      <w:pPr>
        <w:pStyle w:val="Noy0ee8eu"/>
        <w:jc w:val="both"/>
        <w:rPr>
          <w:sz w:val="24"/>
        </w:rPr>
      </w:pPr>
      <w:r>
        <w:rPr>
          <w:sz w:val="24"/>
        </w:rPr>
        <w:t>Органы  чувств:  слух, обоняние – без отклонений, зрение – удовлетворительное.</w:t>
      </w:r>
    </w:p>
    <w:p w:rsidR="00BD36FD" w:rsidRPr="00BD36FD" w:rsidRDefault="00BD36FD" w:rsidP="00D211D1">
      <w:pPr>
        <w:pStyle w:val="Noy0ee8eu"/>
        <w:ind w:firstLine="567"/>
        <w:jc w:val="both"/>
        <w:rPr>
          <w:b/>
          <w:sz w:val="24"/>
          <w:szCs w:val="24"/>
          <w:u w:val="single"/>
        </w:rPr>
      </w:pPr>
      <w:r w:rsidRPr="00BD36FD">
        <w:rPr>
          <w:b/>
          <w:sz w:val="24"/>
          <w:szCs w:val="24"/>
          <w:u w:val="single"/>
        </w:rPr>
        <w:t>Эндокринная система:</w:t>
      </w:r>
    </w:p>
    <w:p w:rsidR="00363047" w:rsidRPr="00BB0603" w:rsidRDefault="00BD36FD" w:rsidP="00D211D1">
      <w:pPr>
        <w:pStyle w:val="BodyText3"/>
        <w:rPr>
          <w:b/>
        </w:rPr>
      </w:pPr>
      <w:r>
        <w:t>Щитовидная железа - не увеличена</w:t>
      </w:r>
    </w:p>
    <w:p w:rsidR="00363047" w:rsidRDefault="00363047" w:rsidP="00D211D1">
      <w:pPr>
        <w:pStyle w:val="BodyText3"/>
        <w:rPr>
          <w:b/>
        </w:rPr>
      </w:pPr>
    </w:p>
    <w:p w:rsidR="00363047" w:rsidRPr="000C2376" w:rsidRDefault="00BD36FD" w:rsidP="00D211D1">
      <w:pPr>
        <w:jc w:val="both"/>
        <w:rPr>
          <w:b/>
          <w:i/>
        </w:rPr>
      </w:pPr>
      <w:r w:rsidRPr="000C2376">
        <w:rPr>
          <w:b/>
          <w:i/>
          <w:lang w:val="en-US"/>
        </w:rPr>
        <w:t>Status</w:t>
      </w:r>
      <w:r w:rsidRPr="000C2376">
        <w:rPr>
          <w:b/>
          <w:i/>
        </w:rPr>
        <w:t xml:space="preserve"> </w:t>
      </w:r>
      <w:proofErr w:type="spellStart"/>
      <w:r w:rsidRPr="000C2376">
        <w:rPr>
          <w:b/>
          <w:i/>
          <w:lang w:val="en-US"/>
        </w:rPr>
        <w:t>localis</w:t>
      </w:r>
      <w:proofErr w:type="spellEnd"/>
    </w:p>
    <w:p w:rsidR="00363047" w:rsidRDefault="00BD36FD" w:rsidP="00D211D1">
      <w:pPr>
        <w:jc w:val="both"/>
      </w:pPr>
      <w:r>
        <w:t>Поясничная область не изменена. Почки не пальпируются. Симптом Пастернацкого отрицательный с обеих сторон. Надлобковая область при пальпации безболезненна</w:t>
      </w:r>
      <w:r w:rsidR="009A2B88">
        <w:t xml:space="preserve">я. Мочевой пузырь пальпаторно и перкуторно не определяется. Наружное отверстие уретры находится в типичном месте, не гиперемировано, выделений нет. Головка полового члена не гиперемирована, открыта. Мошонка не увеличена, пигментирована, складчатость сохранена. Яички в мошонке, размерами 3,5 х </w:t>
      </w:r>
      <w:smartTag w:uri="urn:schemas-microsoft-com:office:smarttags" w:element="metricconverter">
        <w:smartTagPr>
          <w:attr w:name="ProductID" w:val="4,0 см"/>
        </w:smartTagPr>
        <w:r w:rsidR="009A2B88">
          <w:t>4,0 см</w:t>
        </w:r>
      </w:smartTag>
      <w:r w:rsidR="009A2B88">
        <w:t>, эластической консистенции, безболезненные при пальпации. Придатки не увеличены, безболезненные при пальпации. Мочеиспускание не учащено, не затруднено</w:t>
      </w:r>
      <w:r w:rsidR="00D211D1">
        <w:t>. Моча желтая.</w:t>
      </w:r>
    </w:p>
    <w:p w:rsidR="00D211D1" w:rsidRPr="00D211D1" w:rsidRDefault="00D211D1" w:rsidP="00D211D1">
      <w:pPr>
        <w:jc w:val="both"/>
      </w:pPr>
      <w:r>
        <w:rPr>
          <w:lang w:val="en-US"/>
        </w:rPr>
        <w:lastRenderedPageBreak/>
        <w:t>PER</w:t>
      </w:r>
      <w:r w:rsidRPr="00D211D1">
        <w:t xml:space="preserve"> </w:t>
      </w:r>
      <w:r>
        <w:rPr>
          <w:lang w:val="en-US"/>
        </w:rPr>
        <w:t>PECNUM</w:t>
      </w:r>
      <w:r>
        <w:t xml:space="preserve">: простата не увеличена, безболезненная, гладкая, плотно-эластическая. Семенные пузырьки не увеличены. Слизистая прямой кишки над железой смещаема. </w:t>
      </w:r>
      <w:proofErr w:type="spellStart"/>
      <w:r>
        <w:t>Парапростатическая</w:t>
      </w:r>
      <w:proofErr w:type="spellEnd"/>
      <w:r>
        <w:t xml:space="preserve"> клетчатка не инфильтрирована.</w:t>
      </w:r>
    </w:p>
    <w:p w:rsidR="00363047" w:rsidRDefault="00363047" w:rsidP="00D211D1">
      <w:pPr>
        <w:jc w:val="both"/>
        <w:rPr>
          <w:b/>
        </w:rPr>
      </w:pPr>
    </w:p>
    <w:p w:rsidR="000C2376" w:rsidRPr="006A15A0" w:rsidRDefault="000C2376" w:rsidP="00D211D1">
      <w:pPr>
        <w:jc w:val="both"/>
        <w:rPr>
          <w:b/>
          <w:i/>
          <w:sz w:val="28"/>
          <w:szCs w:val="28"/>
        </w:rPr>
      </w:pPr>
      <w:r w:rsidRPr="006A15A0">
        <w:rPr>
          <w:b/>
          <w:i/>
          <w:sz w:val="28"/>
          <w:szCs w:val="28"/>
        </w:rPr>
        <w:t>Предварительный диагноз:</w:t>
      </w:r>
    </w:p>
    <w:p w:rsidR="000C2376" w:rsidRDefault="000C2376" w:rsidP="00D211D1">
      <w:pPr>
        <w:jc w:val="both"/>
      </w:pPr>
      <w:r>
        <w:t>На основании жалоб, анамнеза и данных внешнего осмотра можно предположить, что у данного пациента опухоль мочевого пузыря, мочекаменная болезнь левой почки.</w:t>
      </w:r>
    </w:p>
    <w:p w:rsidR="00512246" w:rsidRDefault="00512246" w:rsidP="00D211D1">
      <w:pPr>
        <w:jc w:val="both"/>
      </w:pPr>
    </w:p>
    <w:p w:rsidR="00030173" w:rsidRDefault="00030173" w:rsidP="00D211D1">
      <w:pPr>
        <w:jc w:val="both"/>
        <w:rPr>
          <w:b/>
          <w:i/>
        </w:rPr>
      </w:pPr>
      <w:r w:rsidRPr="00030173">
        <w:rPr>
          <w:b/>
          <w:i/>
        </w:rPr>
        <w:t>План обследования:</w:t>
      </w:r>
    </w:p>
    <w:p w:rsidR="00030173" w:rsidRDefault="00030173" w:rsidP="00030173">
      <w:pPr>
        <w:numPr>
          <w:ilvl w:val="0"/>
          <w:numId w:val="4"/>
        </w:numPr>
        <w:jc w:val="both"/>
      </w:pPr>
      <w:r>
        <w:t>Общий анализ крови</w:t>
      </w:r>
    </w:p>
    <w:p w:rsidR="00030173" w:rsidRDefault="00030173" w:rsidP="00030173">
      <w:pPr>
        <w:numPr>
          <w:ilvl w:val="0"/>
          <w:numId w:val="4"/>
        </w:numPr>
        <w:jc w:val="both"/>
      </w:pPr>
      <w:r>
        <w:t>Биохимический анализ крови</w:t>
      </w:r>
    </w:p>
    <w:p w:rsidR="00030173" w:rsidRDefault="00030173" w:rsidP="00030173">
      <w:pPr>
        <w:numPr>
          <w:ilvl w:val="0"/>
          <w:numId w:val="4"/>
        </w:numPr>
        <w:jc w:val="both"/>
      </w:pPr>
      <w:r>
        <w:t>Общий анализ мочи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 xml:space="preserve">Реакция </w:t>
      </w:r>
      <w:proofErr w:type="spellStart"/>
      <w:r w:rsidRPr="00030173">
        <w:t>Вассермана</w:t>
      </w:r>
      <w:proofErr w:type="spellEnd"/>
      <w:r w:rsidRPr="00030173">
        <w:t>.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 xml:space="preserve">Реакция на </w:t>
      </w:r>
      <w:proofErr w:type="spellStart"/>
      <w:r w:rsidRPr="00030173">
        <w:t>HBs</w:t>
      </w:r>
      <w:proofErr w:type="spellEnd"/>
      <w:r w:rsidRPr="00030173">
        <w:t xml:space="preserve"> АГ.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>Реакция на анти – HC АТ.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 xml:space="preserve">Реакция на антитела к ВИЧ. 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>Рентгенологическое исследование органов грудной клетки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>ЭКГ</w:t>
      </w:r>
    </w:p>
    <w:p w:rsidR="00030173" w:rsidRDefault="00030173" w:rsidP="00030173">
      <w:pPr>
        <w:numPr>
          <w:ilvl w:val="0"/>
          <w:numId w:val="4"/>
        </w:numPr>
        <w:jc w:val="both"/>
      </w:pPr>
      <w:r w:rsidRPr="00030173">
        <w:t>Обзорная рентгенография моче</w:t>
      </w:r>
      <w:r>
        <w:t>поло</w:t>
      </w:r>
      <w:r w:rsidRPr="00030173">
        <w:t>вой системы</w:t>
      </w:r>
    </w:p>
    <w:p w:rsidR="00030173" w:rsidRDefault="00030173" w:rsidP="00030173">
      <w:pPr>
        <w:numPr>
          <w:ilvl w:val="0"/>
          <w:numId w:val="4"/>
        </w:numPr>
        <w:jc w:val="both"/>
      </w:pPr>
      <w:r>
        <w:t>Анализ мочи по Нечипоренко</w:t>
      </w:r>
    </w:p>
    <w:p w:rsidR="00030173" w:rsidRDefault="00030173" w:rsidP="00030173">
      <w:pPr>
        <w:numPr>
          <w:ilvl w:val="0"/>
          <w:numId w:val="4"/>
        </w:numPr>
        <w:jc w:val="both"/>
      </w:pPr>
      <w:r>
        <w:t xml:space="preserve">Проба по </w:t>
      </w:r>
      <w:proofErr w:type="spellStart"/>
      <w:r>
        <w:t>Зимницкому</w:t>
      </w:r>
      <w:proofErr w:type="spellEnd"/>
    </w:p>
    <w:p w:rsidR="00030173" w:rsidRDefault="00030173" w:rsidP="00030173">
      <w:pPr>
        <w:numPr>
          <w:ilvl w:val="0"/>
          <w:numId w:val="4"/>
        </w:numPr>
        <w:jc w:val="both"/>
      </w:pPr>
      <w:r>
        <w:t>3х ст. проба</w:t>
      </w:r>
    </w:p>
    <w:p w:rsidR="00030173" w:rsidRDefault="00030173" w:rsidP="00030173">
      <w:pPr>
        <w:numPr>
          <w:ilvl w:val="0"/>
          <w:numId w:val="4"/>
        </w:numPr>
        <w:jc w:val="both"/>
      </w:pPr>
      <w:r>
        <w:t>Анализ секрета простаты</w:t>
      </w:r>
    </w:p>
    <w:p w:rsidR="00030173" w:rsidRDefault="00030173" w:rsidP="00030173">
      <w:pPr>
        <w:numPr>
          <w:ilvl w:val="0"/>
          <w:numId w:val="4"/>
        </w:numPr>
        <w:jc w:val="both"/>
      </w:pPr>
      <w:r>
        <w:t>УЗИ органов мочеполовой системы</w:t>
      </w:r>
    </w:p>
    <w:p w:rsidR="00030173" w:rsidRDefault="00030173" w:rsidP="00030173">
      <w:pPr>
        <w:numPr>
          <w:ilvl w:val="0"/>
          <w:numId w:val="4"/>
        </w:numPr>
        <w:jc w:val="both"/>
      </w:pPr>
      <w:r>
        <w:t>ТРУЗИ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>УЗИ органов брюшной полости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>Радиоизотопное исследование функции почек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>Радиоизотопное исследование костей всего скелета</w:t>
      </w:r>
    </w:p>
    <w:p w:rsidR="00030173" w:rsidRPr="00030173" w:rsidRDefault="00030173" w:rsidP="00030173">
      <w:pPr>
        <w:numPr>
          <w:ilvl w:val="0"/>
          <w:numId w:val="4"/>
        </w:numPr>
        <w:jc w:val="both"/>
      </w:pPr>
      <w:r w:rsidRPr="00030173">
        <w:t>Спиральная компьютерная томография или магнитно-резонансная томография</w:t>
      </w:r>
    </w:p>
    <w:p w:rsidR="00030173" w:rsidRDefault="00030173" w:rsidP="00030173">
      <w:pPr>
        <w:numPr>
          <w:ilvl w:val="0"/>
          <w:numId w:val="4"/>
        </w:numPr>
        <w:jc w:val="both"/>
      </w:pPr>
      <w:proofErr w:type="spellStart"/>
      <w:r>
        <w:t>Урофлоуметрия</w:t>
      </w:r>
      <w:proofErr w:type="spellEnd"/>
    </w:p>
    <w:p w:rsidR="00337A6F" w:rsidRDefault="008B6539" w:rsidP="00030173">
      <w:pPr>
        <w:numPr>
          <w:ilvl w:val="0"/>
          <w:numId w:val="4"/>
        </w:numPr>
        <w:jc w:val="both"/>
      </w:pPr>
      <w:r>
        <w:t>Ц</w:t>
      </w:r>
      <w:r w:rsidR="00337A6F">
        <w:t>истоскопия + биопсия</w:t>
      </w:r>
    </w:p>
    <w:p w:rsidR="00030173" w:rsidRDefault="00030173" w:rsidP="00030173">
      <w:pPr>
        <w:jc w:val="both"/>
      </w:pPr>
    </w:p>
    <w:p w:rsidR="002B4A18" w:rsidRDefault="002B4A18" w:rsidP="002B4A18">
      <w:pPr>
        <w:jc w:val="center"/>
        <w:rPr>
          <w:b/>
        </w:rPr>
      </w:pPr>
      <w:r w:rsidRPr="002B4A18">
        <w:rPr>
          <w:b/>
        </w:rPr>
        <w:t>Данные лабораторно-инструментального обследования</w:t>
      </w:r>
    </w:p>
    <w:p w:rsidR="002B4A18" w:rsidRPr="002B4A18" w:rsidRDefault="002B4A18" w:rsidP="002B4A18">
      <w:pPr>
        <w:jc w:val="center"/>
        <w:rPr>
          <w:b/>
        </w:rPr>
      </w:pPr>
    </w:p>
    <w:p w:rsidR="00030173" w:rsidRDefault="00962531" w:rsidP="00030173">
      <w:pPr>
        <w:jc w:val="both"/>
        <w:rPr>
          <w:b/>
          <w:i/>
        </w:rPr>
      </w:pPr>
      <w:r w:rsidRPr="006A15A0">
        <w:rPr>
          <w:b/>
          <w:i/>
        </w:rPr>
        <w:t>Общий анализ крови</w:t>
      </w:r>
    </w:p>
    <w:p w:rsidR="006A15A0" w:rsidRPr="006A15A0" w:rsidRDefault="006A15A0" w:rsidP="00030173">
      <w:pPr>
        <w:jc w:val="both"/>
        <w:rPr>
          <w:b/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Показатели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Результат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Норма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Единицы измерения</w:t>
            </w:r>
          </w:p>
        </w:tc>
      </w:tr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Pr="00FB3D31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Гемоглобин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(HGB) 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120-160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Г/Л</w:t>
            </w:r>
          </w:p>
        </w:tc>
      </w:tr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СОЭ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Мм/ч</w:t>
            </w:r>
          </w:p>
        </w:tc>
      </w:tr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Pr="00FB3D31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Лейкоциты</w:t>
            </w:r>
            <w:r>
              <w:rPr>
                <w:rFonts w:ascii="Times New Roman CYR" w:hAnsi="Times New Roman CYR"/>
                <w:sz w:val="24"/>
                <w:lang w:val="en-US"/>
              </w:rPr>
              <w:t>(WBC)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7,04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*10</w:t>
            </w:r>
            <w:r>
              <w:rPr>
                <w:sz w:val="24"/>
                <w:lang w:val="en-US"/>
              </w:rPr>
              <w:t>^</w:t>
            </w:r>
            <w:r>
              <w:rPr>
                <w:rFonts w:ascii="Times New Roman CYR" w:hAnsi="Times New Roman CYR"/>
                <w:sz w:val="24"/>
              </w:rPr>
              <w:t>9/Л</w:t>
            </w:r>
          </w:p>
        </w:tc>
      </w:tr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Pr="00F07336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Эритроциты</w:t>
            </w:r>
            <w:r>
              <w:rPr>
                <w:rFonts w:ascii="Times New Roman CYR" w:hAnsi="Times New Roman CYR"/>
                <w:sz w:val="24"/>
                <w:lang w:val="en-US"/>
              </w:rPr>
              <w:t>(RBC)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3,90-6,50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*10</w:t>
            </w:r>
            <w:r>
              <w:rPr>
                <w:sz w:val="24"/>
                <w:lang w:val="en-US"/>
              </w:rPr>
              <w:t>^</w:t>
            </w:r>
            <w:r>
              <w:rPr>
                <w:rFonts w:ascii="Times New Roman CYR" w:hAnsi="Times New Roman CYR"/>
                <w:sz w:val="24"/>
              </w:rPr>
              <w:t>12/Л</w:t>
            </w:r>
          </w:p>
        </w:tc>
      </w:tr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Pr="00FB3D31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Средний объем эритроцитов</w:t>
            </w:r>
            <w:r>
              <w:rPr>
                <w:rFonts w:ascii="Times New Roman CYR" w:hAnsi="Times New Roman CYR"/>
                <w:sz w:val="24"/>
                <w:lang w:val="en-US"/>
              </w:rPr>
              <w:t>(MCV)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76,0-96,0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Pr="00FB3D31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Среднее содержание гемоглобина в эритроците</w:t>
            </w:r>
            <w:r w:rsidRPr="00FB3D31">
              <w:rPr>
                <w:rFonts w:ascii="Times New Roman CYR" w:hAnsi="Times New Roman CYR"/>
                <w:sz w:val="24"/>
              </w:rPr>
              <w:t>(</w:t>
            </w:r>
            <w:r>
              <w:rPr>
                <w:rFonts w:ascii="Times New Roman CYR" w:hAnsi="Times New Roman CYR"/>
                <w:sz w:val="24"/>
                <w:lang w:val="en-US"/>
              </w:rPr>
              <w:t>MCH</w:t>
            </w:r>
            <w:r w:rsidRPr="00FB3D31">
              <w:rPr>
                <w:rFonts w:ascii="Times New Roman CYR" w:hAnsi="Times New Roman CYR"/>
                <w:sz w:val="24"/>
              </w:rPr>
              <w:t>)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29,89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27,0-32,0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Pr="00FB3D31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Среднее содержание гемоглобина в крови</w:t>
            </w:r>
            <w:r w:rsidRPr="00FB3D31">
              <w:rPr>
                <w:rFonts w:ascii="Times New Roman CYR" w:hAnsi="Times New Roman CYR"/>
                <w:sz w:val="24"/>
              </w:rPr>
              <w:t>(</w:t>
            </w:r>
            <w:r>
              <w:rPr>
                <w:rFonts w:ascii="Times New Roman CYR" w:hAnsi="Times New Roman CYR"/>
                <w:sz w:val="24"/>
                <w:lang w:val="en-US"/>
              </w:rPr>
              <w:t>MCHC</w:t>
            </w:r>
            <w:r w:rsidRPr="00FB3D31">
              <w:rPr>
                <w:rFonts w:ascii="Times New Roman CYR" w:hAnsi="Times New Roman CYR"/>
                <w:sz w:val="24"/>
              </w:rPr>
              <w:t>)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32,09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30,0-35,0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030173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030173" w:rsidRPr="00FB3D31" w:rsidRDefault="00030173" w:rsidP="00962531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Тромбоциты</w:t>
            </w:r>
            <w:r>
              <w:rPr>
                <w:rFonts w:ascii="Times New Roman CYR" w:hAnsi="Times New Roman CYR"/>
                <w:sz w:val="24"/>
                <w:lang w:val="en-US"/>
              </w:rPr>
              <w:t>(PLT)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180-320</w:t>
            </w:r>
          </w:p>
        </w:tc>
        <w:tc>
          <w:tcPr>
            <w:tcW w:w="2393" w:type="dxa"/>
          </w:tcPr>
          <w:p w:rsidR="00030173" w:rsidRDefault="00030173" w:rsidP="00962531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*10</w:t>
            </w:r>
            <w:r>
              <w:rPr>
                <w:sz w:val="24"/>
                <w:lang w:val="en-US"/>
              </w:rPr>
              <w:t>^</w:t>
            </w:r>
            <w:r>
              <w:rPr>
                <w:rFonts w:ascii="Times New Roman CYR" w:hAnsi="Times New Roman CYR"/>
                <w:sz w:val="24"/>
              </w:rPr>
              <w:t>9/Л</w:t>
            </w:r>
          </w:p>
        </w:tc>
      </w:tr>
    </w:tbl>
    <w:p w:rsidR="00030173" w:rsidRDefault="00030173" w:rsidP="00030173">
      <w:pPr>
        <w:jc w:val="both"/>
      </w:pPr>
    </w:p>
    <w:p w:rsidR="00962531" w:rsidRDefault="00962531" w:rsidP="00030173">
      <w:pPr>
        <w:jc w:val="both"/>
      </w:pPr>
    </w:p>
    <w:p w:rsidR="00962531" w:rsidRDefault="00962531" w:rsidP="00030173">
      <w:pPr>
        <w:jc w:val="both"/>
        <w:rPr>
          <w:b/>
          <w:i/>
        </w:rPr>
      </w:pPr>
      <w:r w:rsidRPr="006A15A0">
        <w:rPr>
          <w:b/>
          <w:i/>
        </w:rPr>
        <w:t>Коагулограмма</w:t>
      </w:r>
    </w:p>
    <w:p w:rsidR="006A15A0" w:rsidRPr="006A15A0" w:rsidRDefault="006A15A0" w:rsidP="00030173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340"/>
        <w:gridCol w:w="2520"/>
        <w:gridCol w:w="2160"/>
      </w:tblGrid>
      <w:tr w:rsidR="0096253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700" w:type="dxa"/>
          </w:tcPr>
          <w:p w:rsidR="00962531" w:rsidRDefault="00962531" w:rsidP="00962531">
            <w:pPr>
              <w:jc w:val="center"/>
            </w:pPr>
            <w:r>
              <w:rPr>
                <w:rFonts w:ascii="Times New Roman CYR" w:hAnsi="Times New Roman CYR"/>
                <w:b/>
              </w:rPr>
              <w:t>Показатели</w:t>
            </w:r>
          </w:p>
        </w:tc>
        <w:tc>
          <w:tcPr>
            <w:tcW w:w="2340" w:type="dxa"/>
          </w:tcPr>
          <w:p w:rsidR="00962531" w:rsidRDefault="00962531" w:rsidP="00962531">
            <w:pPr>
              <w:jc w:val="center"/>
            </w:pPr>
            <w:r>
              <w:rPr>
                <w:rFonts w:ascii="Times New Roman CYR" w:hAnsi="Times New Roman CYR"/>
                <w:b/>
              </w:rPr>
              <w:t>Результат</w:t>
            </w:r>
          </w:p>
        </w:tc>
        <w:tc>
          <w:tcPr>
            <w:tcW w:w="2520" w:type="dxa"/>
          </w:tcPr>
          <w:p w:rsidR="00962531" w:rsidRDefault="00962531" w:rsidP="00962531">
            <w:pPr>
              <w:jc w:val="center"/>
            </w:pPr>
            <w:r>
              <w:rPr>
                <w:rFonts w:ascii="Times New Roman CYR" w:hAnsi="Times New Roman CYR"/>
                <w:b/>
              </w:rPr>
              <w:t>Норма</w:t>
            </w:r>
          </w:p>
        </w:tc>
        <w:tc>
          <w:tcPr>
            <w:tcW w:w="2160" w:type="dxa"/>
          </w:tcPr>
          <w:p w:rsidR="00962531" w:rsidRDefault="00962531" w:rsidP="00962531">
            <w:pPr>
              <w:jc w:val="center"/>
            </w:pPr>
            <w:r>
              <w:rPr>
                <w:rFonts w:ascii="Times New Roman CYR" w:hAnsi="Times New Roman CYR"/>
                <w:b/>
              </w:rPr>
              <w:t>Единицы измерения</w:t>
            </w:r>
          </w:p>
        </w:tc>
      </w:tr>
      <w:tr w:rsidR="0096253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00" w:type="dxa"/>
          </w:tcPr>
          <w:p w:rsidR="00962531" w:rsidRDefault="00962531" w:rsidP="00962531">
            <w:pPr>
              <w:jc w:val="center"/>
            </w:pPr>
            <w:r>
              <w:t>АЧТВ</w:t>
            </w:r>
          </w:p>
        </w:tc>
        <w:tc>
          <w:tcPr>
            <w:tcW w:w="2340" w:type="dxa"/>
          </w:tcPr>
          <w:p w:rsidR="00962531" w:rsidRDefault="00962531" w:rsidP="00962531">
            <w:pPr>
              <w:jc w:val="center"/>
            </w:pPr>
            <w:r>
              <w:t>1,32</w:t>
            </w:r>
          </w:p>
        </w:tc>
        <w:tc>
          <w:tcPr>
            <w:tcW w:w="2520" w:type="dxa"/>
          </w:tcPr>
          <w:p w:rsidR="00962531" w:rsidRDefault="00962531" w:rsidP="00962531">
            <w:pPr>
              <w:jc w:val="center"/>
            </w:pPr>
            <w:r>
              <w:t>0,75-1,25</w:t>
            </w:r>
          </w:p>
        </w:tc>
        <w:tc>
          <w:tcPr>
            <w:tcW w:w="2160" w:type="dxa"/>
          </w:tcPr>
          <w:p w:rsidR="00962531" w:rsidRDefault="00962531" w:rsidP="00030173">
            <w:pPr>
              <w:jc w:val="both"/>
            </w:pPr>
          </w:p>
        </w:tc>
      </w:tr>
      <w:tr w:rsidR="0096253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</w:tcPr>
          <w:p w:rsidR="00962531" w:rsidRDefault="00962531" w:rsidP="00962531">
            <w:pPr>
              <w:jc w:val="center"/>
            </w:pPr>
            <w:r>
              <w:t>Фибриноген</w:t>
            </w:r>
          </w:p>
        </w:tc>
        <w:tc>
          <w:tcPr>
            <w:tcW w:w="2340" w:type="dxa"/>
          </w:tcPr>
          <w:p w:rsidR="00962531" w:rsidRDefault="00962531" w:rsidP="00962531">
            <w:pPr>
              <w:jc w:val="center"/>
            </w:pPr>
            <w:r>
              <w:t>2,99</w:t>
            </w:r>
          </w:p>
        </w:tc>
        <w:tc>
          <w:tcPr>
            <w:tcW w:w="2520" w:type="dxa"/>
          </w:tcPr>
          <w:p w:rsidR="00962531" w:rsidRDefault="00962531" w:rsidP="00962531">
            <w:pPr>
              <w:jc w:val="center"/>
            </w:pPr>
            <w:r>
              <w:t>1,8-4,0</w:t>
            </w:r>
          </w:p>
        </w:tc>
        <w:tc>
          <w:tcPr>
            <w:tcW w:w="2160" w:type="dxa"/>
          </w:tcPr>
          <w:p w:rsidR="00962531" w:rsidRDefault="00962531" w:rsidP="00962531">
            <w:pPr>
              <w:jc w:val="center"/>
            </w:pPr>
            <w:r>
              <w:t>г/л</w:t>
            </w:r>
          </w:p>
        </w:tc>
      </w:tr>
      <w:tr w:rsidR="0096253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00" w:type="dxa"/>
          </w:tcPr>
          <w:p w:rsidR="00962531" w:rsidRDefault="00962531" w:rsidP="00962531">
            <w:pPr>
              <w:jc w:val="center"/>
            </w:pPr>
            <w:r>
              <w:t>ТВ</w:t>
            </w:r>
          </w:p>
        </w:tc>
        <w:tc>
          <w:tcPr>
            <w:tcW w:w="2340" w:type="dxa"/>
          </w:tcPr>
          <w:p w:rsidR="00962531" w:rsidRDefault="00962531" w:rsidP="00962531">
            <w:pPr>
              <w:jc w:val="center"/>
            </w:pPr>
            <w:r>
              <w:t>31</w:t>
            </w:r>
          </w:p>
        </w:tc>
        <w:tc>
          <w:tcPr>
            <w:tcW w:w="2520" w:type="dxa"/>
          </w:tcPr>
          <w:p w:rsidR="00962531" w:rsidRDefault="00962531" w:rsidP="00962531">
            <w:pPr>
              <w:jc w:val="center"/>
            </w:pPr>
            <w:r>
              <w:t>27-33</w:t>
            </w:r>
          </w:p>
        </w:tc>
        <w:tc>
          <w:tcPr>
            <w:tcW w:w="2160" w:type="dxa"/>
          </w:tcPr>
          <w:p w:rsidR="00962531" w:rsidRDefault="00962531" w:rsidP="00962531">
            <w:pPr>
              <w:jc w:val="center"/>
            </w:pPr>
            <w:r>
              <w:t>сек</w:t>
            </w:r>
          </w:p>
        </w:tc>
      </w:tr>
    </w:tbl>
    <w:p w:rsidR="006A15A0" w:rsidRDefault="006A15A0" w:rsidP="00030173">
      <w:pPr>
        <w:jc w:val="both"/>
      </w:pPr>
    </w:p>
    <w:p w:rsidR="006A15A0" w:rsidRPr="006A15A0" w:rsidRDefault="006A15A0" w:rsidP="006A15A0">
      <w:pPr>
        <w:jc w:val="both"/>
        <w:rPr>
          <w:b/>
          <w:i/>
        </w:rPr>
      </w:pPr>
      <w:r w:rsidRPr="006A15A0">
        <w:rPr>
          <w:b/>
          <w:i/>
        </w:rPr>
        <w:t>Биохимический анализ крови</w:t>
      </w:r>
    </w:p>
    <w:p w:rsidR="006A15A0" w:rsidRDefault="006A15A0" w:rsidP="00030173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2079"/>
        <w:gridCol w:w="1932"/>
        <w:gridCol w:w="2105"/>
      </w:tblGrid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Показатель</w:t>
            </w:r>
          </w:p>
        </w:tc>
        <w:tc>
          <w:tcPr>
            <w:tcW w:w="2079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Результат</w:t>
            </w:r>
          </w:p>
        </w:tc>
        <w:tc>
          <w:tcPr>
            <w:tcW w:w="1932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Норма</w:t>
            </w:r>
          </w:p>
        </w:tc>
        <w:tc>
          <w:tcPr>
            <w:tcW w:w="210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Единицы измерения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Общий белок</w:t>
            </w:r>
          </w:p>
        </w:tc>
        <w:tc>
          <w:tcPr>
            <w:tcW w:w="2079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932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6,5-8,5</w:t>
            </w:r>
          </w:p>
        </w:tc>
        <w:tc>
          <w:tcPr>
            <w:tcW w:w="210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г/дл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Креатинин</w:t>
            </w:r>
          </w:p>
        </w:tc>
        <w:tc>
          <w:tcPr>
            <w:tcW w:w="2079" w:type="dxa"/>
          </w:tcPr>
          <w:p w:rsidR="006A15A0" w:rsidRDefault="002D3119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  <w:r w:rsidR="006A15A0">
              <w:rPr>
                <w:sz w:val="24"/>
              </w:rPr>
              <w:t>2</w:t>
            </w:r>
          </w:p>
        </w:tc>
        <w:tc>
          <w:tcPr>
            <w:tcW w:w="1932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4,5-13,0</w:t>
            </w:r>
          </w:p>
        </w:tc>
        <w:tc>
          <w:tcPr>
            <w:tcW w:w="210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мг/л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Альбумин</w:t>
            </w:r>
          </w:p>
        </w:tc>
        <w:tc>
          <w:tcPr>
            <w:tcW w:w="2079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932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3,5-5,0</w:t>
            </w:r>
          </w:p>
        </w:tc>
        <w:tc>
          <w:tcPr>
            <w:tcW w:w="210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</w:t>
            </w:r>
            <w:r>
              <w:rPr>
                <w:rFonts w:ascii="Times New Roman CYR" w:hAnsi="Times New Roman CYR"/>
                <w:sz w:val="24"/>
                <w:lang w:val="en-US"/>
              </w:rPr>
              <w:t>/</w:t>
            </w:r>
            <w:r>
              <w:rPr>
                <w:rFonts w:ascii="Times New Roman CYR" w:hAnsi="Times New Roman CYR"/>
                <w:sz w:val="24"/>
              </w:rPr>
              <w:t>дл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Глюкоза</w:t>
            </w:r>
          </w:p>
        </w:tc>
        <w:tc>
          <w:tcPr>
            <w:tcW w:w="2079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932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3-6,1</w:t>
            </w:r>
          </w:p>
        </w:tc>
        <w:tc>
          <w:tcPr>
            <w:tcW w:w="2105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Ммоль</w:t>
            </w:r>
            <w:proofErr w:type="spellEnd"/>
            <w:r>
              <w:rPr>
                <w:rFonts w:ascii="Times New Roman CYR" w:hAnsi="Times New Roman CYR"/>
                <w:sz w:val="24"/>
              </w:rPr>
              <w:t>/л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Азот мочевина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0142EE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0142EE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C1768A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Мг</w:t>
            </w:r>
            <w:r>
              <w:rPr>
                <w:rFonts w:ascii="Times New Roman CYR" w:hAnsi="Times New Roman CYR"/>
                <w:sz w:val="24"/>
                <w:lang w:val="en-US"/>
              </w:rPr>
              <w:t>/</w:t>
            </w:r>
            <w:r>
              <w:rPr>
                <w:rFonts w:ascii="Times New Roman CYR" w:hAnsi="Times New Roman CYR"/>
                <w:sz w:val="24"/>
              </w:rPr>
              <w:t>дл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0142EE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Мочевая кислота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2,5-7,0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0142EE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Мг</w:t>
            </w:r>
            <w:r>
              <w:rPr>
                <w:rFonts w:ascii="Times New Roman CYR" w:hAnsi="Times New Roman CYR"/>
                <w:sz w:val="24"/>
                <w:lang w:val="en-US"/>
              </w:rPr>
              <w:t>/</w:t>
            </w:r>
            <w:r>
              <w:rPr>
                <w:rFonts w:ascii="Times New Roman CYR" w:hAnsi="Times New Roman CYR"/>
                <w:sz w:val="24"/>
              </w:rPr>
              <w:t>дл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0142EE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Кальций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2,1-2,6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0142EE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Ммоль</w:t>
            </w:r>
            <w:proofErr w:type="spellEnd"/>
            <w:r>
              <w:rPr>
                <w:rFonts w:ascii="Times New Roman CYR" w:hAnsi="Times New Roman CYR"/>
                <w:sz w:val="24"/>
              </w:rPr>
              <w:t>/л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0142EE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K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3,5-5,0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Ммоль</w:t>
            </w:r>
            <w:proofErr w:type="spellEnd"/>
            <w:r>
              <w:rPr>
                <w:rFonts w:ascii="Times New Roman CYR" w:hAnsi="Times New Roman CYR"/>
                <w:sz w:val="24"/>
              </w:rPr>
              <w:t>/л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Pr="000142EE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Na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138,9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135-145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Ммоль</w:t>
            </w:r>
            <w:proofErr w:type="spellEnd"/>
            <w:r>
              <w:rPr>
                <w:rFonts w:ascii="Times New Roman CYR" w:hAnsi="Times New Roman CYR"/>
                <w:sz w:val="24"/>
              </w:rPr>
              <w:t>/л</w:t>
            </w:r>
          </w:p>
        </w:tc>
      </w:tr>
    </w:tbl>
    <w:p w:rsidR="00962531" w:rsidRDefault="00962531" w:rsidP="00030173">
      <w:pPr>
        <w:jc w:val="both"/>
      </w:pPr>
    </w:p>
    <w:p w:rsidR="00962531" w:rsidRDefault="00962531" w:rsidP="00030173">
      <w:pPr>
        <w:jc w:val="both"/>
      </w:pPr>
    </w:p>
    <w:p w:rsidR="00962531" w:rsidRDefault="00962531" w:rsidP="00030173">
      <w:pPr>
        <w:jc w:val="both"/>
        <w:rPr>
          <w:b/>
          <w:i/>
        </w:rPr>
      </w:pPr>
      <w:r w:rsidRPr="006A15A0">
        <w:rPr>
          <w:b/>
          <w:i/>
        </w:rPr>
        <w:t xml:space="preserve">Проба по </w:t>
      </w:r>
      <w:proofErr w:type="spellStart"/>
      <w:r w:rsidRPr="006A15A0">
        <w:rPr>
          <w:b/>
          <w:i/>
        </w:rPr>
        <w:t>Зимницкому</w:t>
      </w:r>
      <w:proofErr w:type="spellEnd"/>
    </w:p>
    <w:p w:rsidR="006A15A0" w:rsidRPr="006A15A0" w:rsidRDefault="006A15A0" w:rsidP="00030173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Количество мочи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Плотность мочи</w:t>
            </w:r>
          </w:p>
        </w:tc>
      </w:tr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3.00-6.00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150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1016</w:t>
            </w:r>
          </w:p>
        </w:tc>
      </w:tr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6.00-9.00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200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1018</w:t>
            </w:r>
          </w:p>
        </w:tc>
      </w:tr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9.00-12.00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1010</w:t>
            </w:r>
          </w:p>
        </w:tc>
      </w:tr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12.00-15.00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200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1018</w:t>
            </w:r>
          </w:p>
        </w:tc>
      </w:tr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15.00-18.00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150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1016</w:t>
            </w:r>
          </w:p>
        </w:tc>
      </w:tr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18.00-21.00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150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1016</w:t>
            </w:r>
          </w:p>
        </w:tc>
      </w:tr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21.00-0.00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1012</w:t>
            </w:r>
          </w:p>
        </w:tc>
      </w:tr>
      <w:tr w:rsidR="00962531" w:rsidRPr="0068680D" w:rsidTr="0068680D">
        <w:tc>
          <w:tcPr>
            <w:tcW w:w="3662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0.00-3.00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100</w:t>
            </w:r>
          </w:p>
        </w:tc>
        <w:tc>
          <w:tcPr>
            <w:tcW w:w="3663" w:type="dxa"/>
            <w:shd w:val="clear" w:color="auto" w:fill="auto"/>
          </w:tcPr>
          <w:p w:rsidR="00962531" w:rsidRPr="0068680D" w:rsidRDefault="00962531" w:rsidP="0068680D">
            <w:pPr>
              <w:pStyle w:val="a3"/>
              <w:widowControl w:val="0"/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68680D">
              <w:rPr>
                <w:rFonts w:ascii="Times New Roman CYR" w:hAnsi="Times New Roman CYR"/>
              </w:rPr>
              <w:t>1010</w:t>
            </w:r>
          </w:p>
        </w:tc>
      </w:tr>
    </w:tbl>
    <w:p w:rsidR="00962531" w:rsidRDefault="00962531" w:rsidP="00030173">
      <w:pPr>
        <w:jc w:val="both"/>
      </w:pPr>
    </w:p>
    <w:p w:rsidR="006A15A0" w:rsidRDefault="006A15A0" w:rsidP="00030173">
      <w:pPr>
        <w:jc w:val="both"/>
      </w:pPr>
    </w:p>
    <w:p w:rsidR="006A15A0" w:rsidRDefault="006A15A0" w:rsidP="00030173">
      <w:pPr>
        <w:jc w:val="both"/>
        <w:rPr>
          <w:b/>
          <w:i/>
        </w:rPr>
      </w:pPr>
      <w:r w:rsidRPr="006A15A0">
        <w:rPr>
          <w:b/>
          <w:i/>
        </w:rPr>
        <w:t>Общий анализ мочи</w:t>
      </w:r>
    </w:p>
    <w:p w:rsidR="006A15A0" w:rsidRPr="006A15A0" w:rsidRDefault="006A15A0" w:rsidP="00030173">
      <w:pPr>
        <w:jc w:val="both"/>
        <w:rPr>
          <w:b/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Показатель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Результат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Единицы измерения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Эпителий  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немного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 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Цвет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Соломенно-желтый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Прозрачность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Полная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Удельный вес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Белок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нет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Г/Л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Глюкоза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не обнаружено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Ммоль</w:t>
            </w:r>
            <w:proofErr w:type="spellEnd"/>
            <w:r>
              <w:rPr>
                <w:rFonts w:ascii="Times New Roman CYR" w:hAnsi="Times New Roman CYR"/>
                <w:sz w:val="24"/>
              </w:rPr>
              <w:t>/л</w:t>
            </w: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рН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7,5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Эритроциты      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единичные в поле </w:t>
            </w:r>
            <w:proofErr w:type="spellStart"/>
            <w:r>
              <w:rPr>
                <w:rFonts w:ascii="Times New Roman CYR" w:hAnsi="Times New Roman CYR"/>
                <w:sz w:val="24"/>
              </w:rPr>
              <w:t>зр</w:t>
            </w:r>
            <w:proofErr w:type="spellEnd"/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Бактерии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немного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Лейкоциты      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1-2 в поле </w:t>
            </w:r>
            <w:proofErr w:type="spellStart"/>
            <w:r>
              <w:rPr>
                <w:rFonts w:ascii="Times New Roman CYR" w:hAnsi="Times New Roman CYR"/>
                <w:sz w:val="24"/>
              </w:rPr>
              <w:t>зр</w:t>
            </w:r>
            <w:proofErr w:type="spellEnd"/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A15A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 xml:space="preserve">Соли </w:t>
            </w:r>
          </w:p>
        </w:tc>
        <w:tc>
          <w:tcPr>
            <w:tcW w:w="3190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Оксалаты-немного</w:t>
            </w:r>
          </w:p>
        </w:tc>
        <w:tc>
          <w:tcPr>
            <w:tcW w:w="3191" w:type="dxa"/>
          </w:tcPr>
          <w:p w:rsidR="006A15A0" w:rsidRDefault="006A15A0" w:rsidP="006A15A0">
            <w:pPr>
              <w:pStyle w:val="a4"/>
              <w:numPr>
                <w:ilvl w:val="12"/>
                <w:numId w:val="0"/>
              </w:numPr>
              <w:rPr>
                <w:sz w:val="24"/>
              </w:rPr>
            </w:pPr>
          </w:p>
        </w:tc>
      </w:tr>
    </w:tbl>
    <w:p w:rsidR="002B4A18" w:rsidRDefault="002B4A18" w:rsidP="002B4A18">
      <w:pPr>
        <w:numPr>
          <w:ilvl w:val="12"/>
          <w:numId w:val="0"/>
        </w:numPr>
        <w:spacing w:line="360" w:lineRule="auto"/>
        <w:jc w:val="both"/>
        <w:rPr>
          <w:u w:val="single"/>
        </w:rPr>
      </w:pPr>
    </w:p>
    <w:p w:rsidR="002B4A18" w:rsidRPr="00864B19" w:rsidRDefault="002B4A18" w:rsidP="002B4A18">
      <w:pPr>
        <w:numPr>
          <w:ilvl w:val="12"/>
          <w:numId w:val="0"/>
        </w:numPr>
        <w:jc w:val="both"/>
        <w:rPr>
          <w:u w:val="single"/>
        </w:rPr>
      </w:pPr>
      <w:r w:rsidRPr="00864B19">
        <w:rPr>
          <w:u w:val="single"/>
        </w:rPr>
        <w:t xml:space="preserve">Реакция </w:t>
      </w:r>
      <w:proofErr w:type="spellStart"/>
      <w:r w:rsidRPr="00864B19">
        <w:rPr>
          <w:u w:val="single"/>
        </w:rPr>
        <w:t>Вассермана</w:t>
      </w:r>
      <w:proofErr w:type="spellEnd"/>
    </w:p>
    <w:p w:rsidR="002B4A18" w:rsidRPr="00864B19" w:rsidRDefault="002B4A18" w:rsidP="002B4A18">
      <w:pPr>
        <w:numPr>
          <w:ilvl w:val="12"/>
          <w:numId w:val="0"/>
        </w:numPr>
        <w:ind w:left="360"/>
        <w:jc w:val="both"/>
      </w:pPr>
      <w:r w:rsidRPr="00864B19">
        <w:t>Отрицательная.</w:t>
      </w:r>
    </w:p>
    <w:p w:rsidR="002B4A18" w:rsidRPr="00864B19" w:rsidRDefault="002B4A18" w:rsidP="002B4A18">
      <w:pPr>
        <w:numPr>
          <w:ilvl w:val="12"/>
          <w:numId w:val="0"/>
        </w:numPr>
        <w:jc w:val="both"/>
        <w:rPr>
          <w:u w:val="single"/>
        </w:rPr>
      </w:pPr>
      <w:r w:rsidRPr="00864B19">
        <w:rPr>
          <w:u w:val="single"/>
        </w:rPr>
        <w:t xml:space="preserve">Реакция на </w:t>
      </w:r>
      <w:r w:rsidRPr="00864B19">
        <w:rPr>
          <w:u w:val="single"/>
          <w:lang w:val="en-US"/>
        </w:rPr>
        <w:t>HBs</w:t>
      </w:r>
      <w:r w:rsidRPr="00864B19">
        <w:rPr>
          <w:u w:val="single"/>
        </w:rPr>
        <w:t xml:space="preserve"> АГ </w:t>
      </w:r>
    </w:p>
    <w:p w:rsidR="002B4A18" w:rsidRPr="00864B19" w:rsidRDefault="002B4A18" w:rsidP="002B4A18">
      <w:pPr>
        <w:numPr>
          <w:ilvl w:val="12"/>
          <w:numId w:val="0"/>
        </w:numPr>
        <w:ind w:left="360"/>
        <w:jc w:val="both"/>
      </w:pPr>
      <w:r w:rsidRPr="00864B19">
        <w:t>Отрицательная.</w:t>
      </w:r>
    </w:p>
    <w:p w:rsidR="002B4A18" w:rsidRPr="00864B19" w:rsidRDefault="002B4A18" w:rsidP="002B4A18">
      <w:pPr>
        <w:numPr>
          <w:ilvl w:val="12"/>
          <w:numId w:val="0"/>
        </w:numPr>
        <w:jc w:val="both"/>
        <w:rPr>
          <w:u w:val="single"/>
        </w:rPr>
      </w:pPr>
      <w:r w:rsidRPr="00864B19">
        <w:rPr>
          <w:u w:val="single"/>
        </w:rPr>
        <w:t xml:space="preserve">Реакция на анти – </w:t>
      </w:r>
      <w:r w:rsidRPr="00864B19">
        <w:rPr>
          <w:u w:val="single"/>
          <w:lang w:val="en-US"/>
        </w:rPr>
        <w:t>HC</w:t>
      </w:r>
      <w:r w:rsidRPr="00864B19">
        <w:rPr>
          <w:u w:val="single"/>
        </w:rPr>
        <w:t xml:space="preserve"> </w:t>
      </w:r>
      <w:r w:rsidRPr="00864B19">
        <w:rPr>
          <w:u w:val="single"/>
          <w:lang w:val="en-US"/>
        </w:rPr>
        <w:t>AT</w:t>
      </w:r>
    </w:p>
    <w:p w:rsidR="002B4A18" w:rsidRPr="00864B19" w:rsidRDefault="002B4A18" w:rsidP="002B4A18">
      <w:pPr>
        <w:numPr>
          <w:ilvl w:val="12"/>
          <w:numId w:val="0"/>
        </w:numPr>
        <w:ind w:left="360"/>
        <w:jc w:val="both"/>
      </w:pPr>
      <w:r w:rsidRPr="00864B19">
        <w:t>Отрицательная.</w:t>
      </w:r>
    </w:p>
    <w:p w:rsidR="002B4A18" w:rsidRPr="00864B19" w:rsidRDefault="002B4A18" w:rsidP="002B4A18">
      <w:pPr>
        <w:numPr>
          <w:ilvl w:val="12"/>
          <w:numId w:val="0"/>
        </w:numPr>
        <w:jc w:val="both"/>
        <w:rPr>
          <w:u w:val="single"/>
        </w:rPr>
      </w:pPr>
      <w:r w:rsidRPr="00864B19">
        <w:rPr>
          <w:u w:val="single"/>
        </w:rPr>
        <w:t xml:space="preserve">Реакция на антитела к ВИЧ </w:t>
      </w:r>
    </w:p>
    <w:p w:rsidR="002B4A18" w:rsidRDefault="002B4A18" w:rsidP="002B4A18">
      <w:pPr>
        <w:numPr>
          <w:ilvl w:val="12"/>
          <w:numId w:val="0"/>
        </w:numPr>
        <w:ind w:left="360"/>
        <w:jc w:val="both"/>
      </w:pPr>
      <w:r w:rsidRPr="00864B19">
        <w:t>Отрицательная.</w:t>
      </w:r>
    </w:p>
    <w:p w:rsidR="002B4A18" w:rsidRDefault="002B4A18" w:rsidP="002B4A18">
      <w:pPr>
        <w:numPr>
          <w:ilvl w:val="12"/>
          <w:numId w:val="0"/>
        </w:numPr>
        <w:ind w:left="360"/>
        <w:jc w:val="both"/>
      </w:pPr>
    </w:p>
    <w:p w:rsidR="002B4A18" w:rsidRPr="002B4A18" w:rsidRDefault="002B4A18" w:rsidP="002B4A18">
      <w:pPr>
        <w:numPr>
          <w:ilvl w:val="12"/>
          <w:numId w:val="0"/>
        </w:numPr>
        <w:ind w:left="360"/>
        <w:jc w:val="center"/>
        <w:rPr>
          <w:b/>
          <w:i/>
        </w:rPr>
      </w:pPr>
      <w:r w:rsidRPr="002B4A18">
        <w:rPr>
          <w:b/>
          <w:i/>
        </w:rPr>
        <w:t>КТ органов брюшной полости</w:t>
      </w:r>
    </w:p>
    <w:p w:rsidR="006A15A0" w:rsidRDefault="00F27B77" w:rsidP="00030173">
      <w:pPr>
        <w:jc w:val="both"/>
      </w:pPr>
      <w:r>
        <w:t>Печень нормальных размеров, однородной структуры, обычной плотности. Внутрипеченочные желчные протоки и сосуды системы воротной вены не расширены. Желчный пузырь без особенностей.</w:t>
      </w:r>
    </w:p>
    <w:p w:rsidR="00F27B77" w:rsidRDefault="00F27B77" w:rsidP="00030173">
      <w:pPr>
        <w:jc w:val="both"/>
      </w:pPr>
      <w:r>
        <w:t>Поджелудочная железа обычно расположена, нормальных размеров и формы, дольчатого строения. Контуры железы четкие, структура однородная, плотность обычная. Окружающая жировая клетчатка не изменена.</w:t>
      </w:r>
    </w:p>
    <w:p w:rsidR="00F27B77" w:rsidRDefault="00F27B77" w:rsidP="00030173">
      <w:pPr>
        <w:jc w:val="both"/>
      </w:pPr>
      <w:r>
        <w:t xml:space="preserve">Определяется дополнительная правая почечная артерия, расположенная выше основной почечной артерии на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. Почки обычно расположены, нормальных размеров и формы с четкими контурами. Паренхима почек однородна, обыч</w:t>
      </w:r>
      <w:r w:rsidR="002D3119">
        <w:t>ной плотности. В верхней чашечке</w:t>
      </w:r>
      <w:r>
        <w:t xml:space="preserve"> левой почки определяется микролит размером  2мм, в средней чашечке – 3мм. Чашечно-лоханочная система справа расширена. Слева определяется неравномерное расширение мочеточника до 5-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 до нижней трети. В нижней трети левого мочеточника на расстоянии около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от устья определяется конкремент размером </w:t>
      </w:r>
      <w:smartTag w:uri="urn:schemas-microsoft-com:office:smarttags" w:element="metricconverter">
        <w:smartTagPr>
          <w:attr w:name="ProductID" w:val="4,5 мм"/>
        </w:smartTagPr>
        <w:r>
          <w:t>4,5 мм</w:t>
        </w:r>
      </w:smartTag>
      <w:r>
        <w:t xml:space="preserve"> плотностью 600 ед.Н. В отсроченную фазу контрастирования ЧЛС почек и мочеточников на всем протяжении, в том числе ниже уровня конкремента, заполнены контрастным препаратом. По задней стенке мочевого пузыря определяется </w:t>
      </w:r>
      <w:proofErr w:type="spellStart"/>
      <w:r>
        <w:t>экзофитное</w:t>
      </w:r>
      <w:proofErr w:type="spellEnd"/>
      <w:r>
        <w:t xml:space="preserve"> образование размером 8,5х7мм с нечеткими неровными контурами, накапливающее контрастный препарат в паренхиматозную фазу.</w:t>
      </w:r>
    </w:p>
    <w:p w:rsidR="00F27B77" w:rsidRPr="008A6B52" w:rsidRDefault="00F27B77" w:rsidP="00030173">
      <w:pPr>
        <w:jc w:val="both"/>
        <w:rPr>
          <w:i/>
        </w:rPr>
      </w:pPr>
      <w:r>
        <w:t>Селезенка, надпочечники без особенностей. Забрюшинные лимфоузлы не увеличены. Аорта, нижняя полая вена не изменены.</w:t>
      </w:r>
    </w:p>
    <w:p w:rsidR="008A6B52" w:rsidRDefault="008A6B52" w:rsidP="00030173">
      <w:pPr>
        <w:jc w:val="both"/>
      </w:pPr>
      <w:r w:rsidRPr="008A6B52">
        <w:rPr>
          <w:i/>
        </w:rPr>
        <w:t>Заключение:</w:t>
      </w:r>
      <w:r>
        <w:rPr>
          <w:i/>
        </w:rPr>
        <w:t xml:space="preserve"> </w:t>
      </w:r>
      <w:r>
        <w:t>Образование мочевого пузыря. Мочекаменная болезнь. Конкременты левой почки и левого мочеточника.</w:t>
      </w:r>
    </w:p>
    <w:p w:rsidR="008A6B52" w:rsidRDefault="008A6B52" w:rsidP="00030173">
      <w:pPr>
        <w:jc w:val="both"/>
      </w:pPr>
    </w:p>
    <w:p w:rsidR="008A6B52" w:rsidRDefault="008A6B52" w:rsidP="008A6B52">
      <w:pPr>
        <w:jc w:val="center"/>
        <w:rPr>
          <w:b/>
          <w:i/>
        </w:rPr>
      </w:pPr>
      <w:proofErr w:type="spellStart"/>
      <w:r w:rsidRPr="008A6B52">
        <w:rPr>
          <w:b/>
          <w:i/>
        </w:rPr>
        <w:t>Остеосцинтиграфия</w:t>
      </w:r>
      <w:proofErr w:type="spellEnd"/>
    </w:p>
    <w:p w:rsidR="008A6B52" w:rsidRDefault="008A6B52" w:rsidP="008A6B52">
      <w:pPr>
        <w:jc w:val="both"/>
      </w:pPr>
      <w:r>
        <w:t xml:space="preserve">На </w:t>
      </w:r>
      <w:proofErr w:type="spellStart"/>
      <w:r>
        <w:t>сцинтиграммах</w:t>
      </w:r>
      <w:proofErr w:type="spellEnd"/>
      <w:r>
        <w:t xml:space="preserve"> всего тела, выполненных в передней и задней прямых проекциях, отчетливо визуализируется включение </w:t>
      </w:r>
      <w:proofErr w:type="spellStart"/>
      <w:r>
        <w:t>пирофосфата</w:t>
      </w:r>
      <w:proofErr w:type="spellEnd"/>
      <w:r>
        <w:t xml:space="preserve"> в костные структуры. Накопление индикатора достаточной интенсивности, в парных костных образованиях симметричное. Распределение </w:t>
      </w:r>
      <w:proofErr w:type="spellStart"/>
      <w:r>
        <w:t>радиофармпрепарата</w:t>
      </w:r>
      <w:proofErr w:type="spellEnd"/>
      <w:r>
        <w:t xml:space="preserve"> соответствует возрастной норме. Зоны разрежения костной ткани или очаги патологической </w:t>
      </w:r>
      <w:proofErr w:type="spellStart"/>
      <w:r>
        <w:t>гиперфиксации</w:t>
      </w:r>
      <w:proofErr w:type="spellEnd"/>
      <w:r>
        <w:t xml:space="preserve"> индикатора не выявлены.</w:t>
      </w:r>
    </w:p>
    <w:p w:rsidR="008A6B52" w:rsidRDefault="008A6B52" w:rsidP="008A6B52">
      <w:pPr>
        <w:jc w:val="both"/>
      </w:pPr>
      <w:r>
        <w:t>Остаточная радиоактивность в почках и мочевыводящих путях соответствует времени исследования. Атипичная фиксация РФП в паренхиматозных органах и мягких тканях не отмечена.</w:t>
      </w:r>
    </w:p>
    <w:p w:rsidR="008A6B52" w:rsidRDefault="008A6B52" w:rsidP="008A6B52">
      <w:pPr>
        <w:jc w:val="both"/>
      </w:pPr>
      <w:r w:rsidRPr="008A6B52">
        <w:rPr>
          <w:i/>
        </w:rPr>
        <w:t>Заключение:</w:t>
      </w:r>
      <w:r>
        <w:rPr>
          <w:i/>
        </w:rPr>
        <w:t xml:space="preserve"> </w:t>
      </w:r>
      <w:r>
        <w:t>Признаки очагового поражения костей не выявлены.</w:t>
      </w:r>
    </w:p>
    <w:p w:rsidR="00C737C7" w:rsidRDefault="00C737C7" w:rsidP="008A6B52">
      <w:pPr>
        <w:jc w:val="both"/>
      </w:pPr>
    </w:p>
    <w:p w:rsidR="00C737C7" w:rsidRDefault="00C737C7" w:rsidP="00C737C7">
      <w:pPr>
        <w:jc w:val="center"/>
        <w:rPr>
          <w:b/>
          <w:i/>
        </w:rPr>
      </w:pPr>
      <w:r w:rsidRPr="00C737C7">
        <w:rPr>
          <w:b/>
          <w:i/>
        </w:rPr>
        <w:t>Рентгенография органов грудной клетки</w:t>
      </w:r>
    </w:p>
    <w:p w:rsidR="00C737C7" w:rsidRDefault="00C737C7" w:rsidP="00C737C7">
      <w:r>
        <w:t>В легких эмфизема, умеренно выраженный интерстициальный фиброз. Корни структурные, плевральные синусы свободные, диафрагма уплощена, расположена на уровне 6-7 ребер.</w:t>
      </w:r>
    </w:p>
    <w:p w:rsidR="00C737C7" w:rsidRDefault="00C737C7" w:rsidP="00C737C7">
      <w:r>
        <w:t>Сердце в размерах не увеличено, аорта удлинена в дуге.</w:t>
      </w:r>
    </w:p>
    <w:p w:rsidR="00AE6EE9" w:rsidRDefault="00AE6EE9" w:rsidP="00C737C7"/>
    <w:p w:rsidR="00AE6EE9" w:rsidRDefault="00AE6EE9" w:rsidP="00AE6EE9">
      <w:pPr>
        <w:jc w:val="center"/>
        <w:rPr>
          <w:b/>
          <w:i/>
        </w:rPr>
      </w:pPr>
      <w:r w:rsidRPr="00AE6EE9">
        <w:rPr>
          <w:b/>
          <w:i/>
        </w:rPr>
        <w:t>УЗИ органов мочевой системы</w:t>
      </w:r>
    </w:p>
    <w:p w:rsidR="00AE6EE9" w:rsidRDefault="00AE6EE9" w:rsidP="00AE6EE9">
      <w:pPr>
        <w:jc w:val="both"/>
      </w:pPr>
      <w:r w:rsidRPr="00AE6EE9">
        <w:rPr>
          <w:i/>
        </w:rPr>
        <w:t>Правая почка:</w:t>
      </w:r>
      <w:r>
        <w:t xml:space="preserve"> с четкими, ровными контурами, размером 14,5х7,5 см, паренхима однородная, толщиной </w:t>
      </w:r>
      <w:smartTag w:uri="urn:schemas-microsoft-com:office:smarttags" w:element="metricconverter">
        <w:smartTagPr>
          <w:attr w:name="ProductID" w:val="1,7 см"/>
        </w:smartTagPr>
        <w:r>
          <w:t>1,7 см</w:t>
        </w:r>
      </w:smartTag>
      <w:r>
        <w:t xml:space="preserve">, подвижность – </w:t>
      </w:r>
      <w:smartTag w:uri="urn:schemas-microsoft-com:office:smarttags" w:element="metricconverter">
        <w:smartTagPr>
          <w:attr w:name="ProductID" w:val="2,0 см"/>
        </w:smartTagPr>
        <w:r>
          <w:t>2,0 см</w:t>
        </w:r>
      </w:smartTag>
      <w:r>
        <w:t>. Дилатации чашечно-лоханочной системы нет. Патологических образований нет.</w:t>
      </w:r>
    </w:p>
    <w:p w:rsidR="00AE6EE9" w:rsidRDefault="00AE6EE9" w:rsidP="00AE6EE9">
      <w:pPr>
        <w:jc w:val="both"/>
      </w:pPr>
      <w:r w:rsidRPr="00AE6EE9">
        <w:rPr>
          <w:i/>
        </w:rPr>
        <w:t>Левая почка:</w:t>
      </w:r>
      <w:r>
        <w:rPr>
          <w:i/>
        </w:rPr>
        <w:t xml:space="preserve"> </w:t>
      </w:r>
      <w:r>
        <w:t xml:space="preserve">с четкими, ровным контуром, размером 13,5х7,0 см, паренхима однородная, толщиной </w:t>
      </w:r>
      <w:smartTag w:uri="urn:schemas-microsoft-com:office:smarttags" w:element="metricconverter">
        <w:smartTagPr>
          <w:attr w:name="ProductID" w:val="1,7 см"/>
        </w:smartTagPr>
        <w:r>
          <w:t>1,7 см</w:t>
        </w:r>
      </w:smartTag>
      <w:r>
        <w:t xml:space="preserve">, подвижность – </w:t>
      </w:r>
      <w:smartTag w:uri="urn:schemas-microsoft-com:office:smarttags" w:element="metricconverter">
        <w:smartTagPr>
          <w:attr w:name="ProductID" w:val="2,0 см"/>
        </w:smartTagPr>
        <w:r>
          <w:t>2,0 см</w:t>
        </w:r>
      </w:smartTag>
      <w:r>
        <w:t xml:space="preserve">. Дилатации чашечно-лоханочной системы нет. В средней чашечке – </w:t>
      </w:r>
      <w:proofErr w:type="spellStart"/>
      <w:r>
        <w:t>гиперэхогенное</w:t>
      </w:r>
      <w:proofErr w:type="spellEnd"/>
      <w:r>
        <w:t xml:space="preserve"> образование с акустической дорожкой размером до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.</w:t>
      </w:r>
    </w:p>
    <w:p w:rsidR="00AE6EE9" w:rsidRDefault="00AE6EE9" w:rsidP="00AE6EE9">
      <w:pPr>
        <w:jc w:val="both"/>
      </w:pPr>
      <w:r w:rsidRPr="00AE6EE9">
        <w:rPr>
          <w:i/>
        </w:rPr>
        <w:lastRenderedPageBreak/>
        <w:t>Мочевой пузырь</w:t>
      </w:r>
      <w:r>
        <w:rPr>
          <w:i/>
        </w:rPr>
        <w:t>:</w:t>
      </w:r>
      <w:r>
        <w:t xml:space="preserve"> с четкими, ровными контурами, содержимое однородное, анэхогенное. По задней стенке мочевого пузыря определяется </w:t>
      </w:r>
      <w:proofErr w:type="spellStart"/>
      <w:r>
        <w:t>гиперэхогенного</w:t>
      </w:r>
      <w:proofErr w:type="spellEnd"/>
      <w:r>
        <w:t xml:space="preserve"> образование без акустической дорожки, размером до </w:t>
      </w:r>
      <w:smartTag w:uri="urn:schemas-microsoft-com:office:smarttags" w:element="metricconverter">
        <w:smartTagPr>
          <w:attr w:name="ProductID" w:val="1,0 см"/>
        </w:smartTagPr>
        <w:r>
          <w:t>1,0 см</w:t>
        </w:r>
      </w:smartTag>
      <w:r>
        <w:t>, неподвижное при перемене положения тела. Остаточной мочи нет.</w:t>
      </w:r>
    </w:p>
    <w:p w:rsidR="00AE6EE9" w:rsidRDefault="00AE6EE9" w:rsidP="00AE6EE9">
      <w:pPr>
        <w:jc w:val="both"/>
      </w:pPr>
      <w:r w:rsidRPr="00AE6EE9">
        <w:rPr>
          <w:i/>
        </w:rPr>
        <w:t>Предстательная железа:</w:t>
      </w:r>
      <w:r>
        <w:t xml:space="preserve"> с четким, ровным контуром, размером 3,5х3,0х3,2 см, объем 34,8 см3, неоднородной </w:t>
      </w:r>
      <w:proofErr w:type="spellStart"/>
      <w:r>
        <w:t>эхоструктуры</w:t>
      </w:r>
      <w:proofErr w:type="spellEnd"/>
      <w:r>
        <w:t xml:space="preserve"> за счет </w:t>
      </w:r>
      <w:proofErr w:type="spellStart"/>
      <w:r>
        <w:t>гиперэхогенных</w:t>
      </w:r>
      <w:proofErr w:type="spellEnd"/>
      <w:r>
        <w:t xml:space="preserve"> очагов, расположенных </w:t>
      </w:r>
      <w:proofErr w:type="spellStart"/>
      <w:r>
        <w:t>парауретрально</w:t>
      </w:r>
      <w:proofErr w:type="spellEnd"/>
      <w:r>
        <w:t>.</w:t>
      </w:r>
    </w:p>
    <w:p w:rsidR="00AE6EE9" w:rsidRDefault="00AE6EE9" w:rsidP="00AE6EE9">
      <w:pPr>
        <w:jc w:val="both"/>
      </w:pPr>
    </w:p>
    <w:p w:rsidR="00344211" w:rsidRPr="002D3119" w:rsidRDefault="00344211" w:rsidP="00344211">
      <w:pPr>
        <w:jc w:val="center"/>
        <w:rPr>
          <w:b/>
          <w:i/>
          <w:sz w:val="28"/>
          <w:szCs w:val="28"/>
        </w:rPr>
      </w:pPr>
      <w:r w:rsidRPr="002D3119">
        <w:rPr>
          <w:b/>
          <w:i/>
          <w:sz w:val="28"/>
          <w:szCs w:val="28"/>
        </w:rPr>
        <w:t>Клинический диагноз и его обоснование:</w:t>
      </w:r>
    </w:p>
    <w:p w:rsidR="002D3119" w:rsidRDefault="00831AB6" w:rsidP="00831AB6">
      <w:pPr>
        <w:jc w:val="both"/>
      </w:pPr>
      <w:r w:rsidRPr="00337A6F">
        <w:rPr>
          <w:b/>
          <w:i/>
        </w:rPr>
        <w:t>Основное заболевание</w:t>
      </w:r>
      <w:r w:rsidRPr="00337A6F">
        <w:rPr>
          <w:b/>
        </w:rPr>
        <w:t>:</w:t>
      </w:r>
      <w:r>
        <w:t xml:space="preserve"> МКБ левой </w:t>
      </w:r>
      <w:r w:rsidR="002D3119">
        <w:t>почки.</w:t>
      </w:r>
      <w:r w:rsidR="002373F5" w:rsidRPr="002373F5">
        <w:t xml:space="preserve"> </w:t>
      </w:r>
      <w:r w:rsidR="00C11DDB">
        <w:t>Опухоль мочевого пузыря.</w:t>
      </w:r>
    </w:p>
    <w:p w:rsidR="00C11DDB" w:rsidRPr="00C11DDB" w:rsidRDefault="00C11DDB" w:rsidP="00831AB6">
      <w:pPr>
        <w:jc w:val="both"/>
      </w:pPr>
    </w:p>
    <w:p w:rsidR="00337A6F" w:rsidRPr="004B2901" w:rsidRDefault="00337A6F" w:rsidP="00831AB6">
      <w:pPr>
        <w:jc w:val="both"/>
        <w:rPr>
          <w:b/>
          <w:i/>
        </w:rPr>
      </w:pPr>
      <w:r>
        <w:t>На основании жалоб (</w:t>
      </w:r>
      <w:r w:rsidR="002D3119">
        <w:t>тянущие боли в поя</w:t>
      </w:r>
      <w:r>
        <w:t>сничной области), анамнеза (в конце февраля 2008 года при УЗ исследовании были обнаружены микролиты в левой почке), а также основываясь на лабораторно-инструментальных данных (</w:t>
      </w:r>
      <w:r w:rsidR="002D3119" w:rsidRPr="002D3119">
        <w:rPr>
          <w:b/>
          <w:i/>
        </w:rPr>
        <w:t>КТ</w:t>
      </w:r>
      <w:r w:rsidR="002D3119">
        <w:t>:</w:t>
      </w:r>
      <w:r w:rsidR="002D3119" w:rsidRPr="002D3119">
        <w:t xml:space="preserve"> </w:t>
      </w:r>
      <w:r w:rsidR="002D3119">
        <w:t>в верхней чашечке левой почки определяется микролит размером  2мм, в средней чашечке – 3мм. Чашечно-лоханочная система справа расширена. Слева определяется неравномерное расширение мочеточника до 5-</w:t>
      </w:r>
      <w:smartTag w:uri="urn:schemas-microsoft-com:office:smarttags" w:element="metricconverter">
        <w:smartTagPr>
          <w:attr w:name="ProductID" w:val="8 мм"/>
        </w:smartTagPr>
        <w:r w:rsidR="002D3119">
          <w:t>8 мм</w:t>
        </w:r>
      </w:smartTag>
      <w:r w:rsidR="002D3119">
        <w:t xml:space="preserve"> до нижней трети. В нижней трети левого мочеточника на расстоянии около </w:t>
      </w:r>
      <w:smartTag w:uri="urn:schemas-microsoft-com:office:smarttags" w:element="metricconverter">
        <w:smartTagPr>
          <w:attr w:name="ProductID" w:val="20 мм"/>
        </w:smartTagPr>
        <w:r w:rsidR="002D3119">
          <w:t>20 мм</w:t>
        </w:r>
      </w:smartTag>
      <w:r w:rsidR="002D3119">
        <w:t xml:space="preserve"> от устья определяется конкремент размером </w:t>
      </w:r>
      <w:smartTag w:uri="urn:schemas-microsoft-com:office:smarttags" w:element="metricconverter">
        <w:smartTagPr>
          <w:attr w:name="ProductID" w:val="4,5 мм"/>
        </w:smartTagPr>
        <w:r w:rsidR="002D3119">
          <w:t>4,5 мм</w:t>
        </w:r>
      </w:smartTag>
      <w:r w:rsidR="002D3119">
        <w:t xml:space="preserve"> плотностью 600 ед.Н.,</w:t>
      </w:r>
      <w:r w:rsidR="002D3119" w:rsidRPr="002D3119">
        <w:t xml:space="preserve"> </w:t>
      </w:r>
      <w:r w:rsidR="002D3119" w:rsidRPr="004B2901">
        <w:rPr>
          <w:i/>
          <w:u w:val="single"/>
        </w:rPr>
        <w:t>УЗИ</w:t>
      </w:r>
      <w:r w:rsidR="002D3119" w:rsidRPr="004B2901">
        <w:rPr>
          <w:u w:val="single"/>
        </w:rPr>
        <w:t>:</w:t>
      </w:r>
      <w:r w:rsidR="002D3119">
        <w:t xml:space="preserve"> в средней чашечке – </w:t>
      </w:r>
      <w:proofErr w:type="spellStart"/>
      <w:r w:rsidR="002D3119">
        <w:t>гиперэхогенное</w:t>
      </w:r>
      <w:proofErr w:type="spellEnd"/>
      <w:r w:rsidR="002D3119">
        <w:t xml:space="preserve"> образование с акустической дорожкой размером до </w:t>
      </w:r>
      <w:smartTag w:uri="urn:schemas-microsoft-com:office:smarttags" w:element="metricconverter">
        <w:smartTagPr>
          <w:attr w:name="ProductID" w:val="5 мм"/>
        </w:smartTagPr>
        <w:r w:rsidR="002D3119">
          <w:t>5 мм</w:t>
        </w:r>
      </w:smartTag>
      <w:r w:rsidR="002D3119">
        <w:t xml:space="preserve">.) можно поставить диагноз: </w:t>
      </w:r>
      <w:r w:rsidR="002D3119" w:rsidRPr="004B2901">
        <w:rPr>
          <w:b/>
          <w:i/>
        </w:rPr>
        <w:t>МКБ левой почки.</w:t>
      </w:r>
    </w:p>
    <w:p w:rsidR="004B2901" w:rsidRPr="008B6539" w:rsidRDefault="004B2901" w:rsidP="004B2901">
      <w:pPr>
        <w:jc w:val="both"/>
      </w:pPr>
      <w:r w:rsidRPr="004B2901">
        <w:rPr>
          <w:b/>
          <w:i/>
        </w:rPr>
        <w:t>Опухоль мочевого пузыря</w:t>
      </w:r>
      <w:r>
        <w:t xml:space="preserve"> можно поставить также на основании такого высоко информативного исследования, как </w:t>
      </w:r>
      <w:r w:rsidRPr="004B2901">
        <w:rPr>
          <w:i/>
          <w:u w:val="single"/>
        </w:rPr>
        <w:t>КТ:</w:t>
      </w:r>
      <w:r>
        <w:t xml:space="preserve"> по задней стенке мочевого пузыря определяется </w:t>
      </w:r>
      <w:proofErr w:type="spellStart"/>
      <w:r>
        <w:t>экзофитное</w:t>
      </w:r>
      <w:proofErr w:type="spellEnd"/>
      <w:r>
        <w:t xml:space="preserve"> образование размером 8,5х7мм с нечеткими неровными контурами, накапливающее контрастный препарат в паренхиматозную фазу. Также этот диагноз подтверждает УЗ исследование (</w:t>
      </w:r>
      <w:r w:rsidR="001945F1">
        <w:t xml:space="preserve">по задней стенке мочевого пузыря определяется </w:t>
      </w:r>
      <w:proofErr w:type="spellStart"/>
      <w:r w:rsidR="001945F1">
        <w:t>гиперэхогенного</w:t>
      </w:r>
      <w:proofErr w:type="spellEnd"/>
      <w:r w:rsidR="001945F1">
        <w:t xml:space="preserve"> образование без акустической дорожки, размером до </w:t>
      </w:r>
      <w:smartTag w:uri="urn:schemas-microsoft-com:office:smarttags" w:element="metricconverter">
        <w:smartTagPr>
          <w:attr w:name="ProductID" w:val="1,0 см"/>
        </w:smartTagPr>
        <w:r w:rsidR="001945F1">
          <w:t>1,0 см</w:t>
        </w:r>
      </w:smartTag>
      <w:r w:rsidR="001945F1">
        <w:t>, неподвиж</w:t>
      </w:r>
      <w:r w:rsidR="008B6539">
        <w:t>ное при перемене положения тела</w:t>
      </w:r>
      <w:r>
        <w:t>)</w:t>
      </w:r>
      <w:r w:rsidR="008B6539">
        <w:t xml:space="preserve">. Профессия больного (водитель) также является предрасполагающим фактором к такому заболеванию, как опухоль мочевого пузыря. </w:t>
      </w:r>
    </w:p>
    <w:p w:rsidR="00C11DDB" w:rsidRDefault="00C11DDB" w:rsidP="00C11DDB">
      <w:pPr>
        <w:jc w:val="both"/>
      </w:pPr>
    </w:p>
    <w:p w:rsidR="00C11DDB" w:rsidRPr="00C11DDB" w:rsidRDefault="00C11DDB" w:rsidP="00C11DDB">
      <w:pPr>
        <w:jc w:val="both"/>
        <w:rPr>
          <w:b/>
          <w:i/>
        </w:rPr>
      </w:pPr>
      <w:r>
        <w:rPr>
          <w:b/>
          <w:i/>
        </w:rPr>
        <w:t>Дифференциальный диагноз</w:t>
      </w:r>
    </w:p>
    <w:p w:rsidR="00337A6F" w:rsidRPr="00C11DDB" w:rsidRDefault="00C11DDB" w:rsidP="00C11DDB">
      <w:r w:rsidRPr="00C11DDB">
        <w:t xml:space="preserve">Дифференциальную диагностику опухоли </w:t>
      </w:r>
      <w:r w:rsidRPr="00715F8C">
        <w:rPr>
          <w:b/>
          <w:u w:val="single"/>
        </w:rPr>
        <w:t>мочевого пузыря</w:t>
      </w:r>
      <w:r w:rsidRPr="00C11DDB">
        <w:t xml:space="preserve"> следует проводить с</w:t>
      </w:r>
      <w:r>
        <w:t xml:space="preserve"> хроническими </w:t>
      </w:r>
      <w:r w:rsidRPr="00C11DDB">
        <w:t>воспалительными процессами в мочевом пузыре: туберкулезом,</w:t>
      </w:r>
      <w:r>
        <w:t xml:space="preserve"> простой язвой, </w:t>
      </w:r>
      <w:proofErr w:type="spellStart"/>
      <w:r>
        <w:t>эндометриозом</w:t>
      </w:r>
      <w:proofErr w:type="spellEnd"/>
      <w:r>
        <w:t xml:space="preserve"> </w:t>
      </w:r>
      <w:r w:rsidRPr="00C11DDB">
        <w:t>мочевого пузыря, хроническим геморрагическим</w:t>
      </w:r>
      <w:r>
        <w:t xml:space="preserve"> </w:t>
      </w:r>
      <w:r w:rsidRPr="00C11DDB">
        <w:t>циститом, а также с опухолеподобными поражениями. Туберкулезные гранулемы</w:t>
      </w:r>
      <w:r>
        <w:t xml:space="preserve"> </w:t>
      </w:r>
      <w:r w:rsidRPr="00C11DDB">
        <w:t>или туберкулезные язвы сочетаются со специфическими изменениями почки и</w:t>
      </w:r>
      <w:r>
        <w:t xml:space="preserve"> </w:t>
      </w:r>
      <w:r w:rsidRPr="00C11DDB">
        <w:t>мочеточника, а в моче находят микобактерии. Простая язва мочевого пузыря</w:t>
      </w:r>
      <w:r>
        <w:t xml:space="preserve"> отличается отсутствием </w:t>
      </w:r>
      <w:r w:rsidRPr="00C11DDB">
        <w:t xml:space="preserve">инфильтративного роста. При  </w:t>
      </w:r>
      <w:proofErr w:type="spellStart"/>
      <w:r w:rsidRPr="00C11DDB">
        <w:t>малакоплакии</w:t>
      </w:r>
      <w:proofErr w:type="spellEnd"/>
      <w:r>
        <w:t xml:space="preserve"> </w:t>
      </w:r>
      <w:r w:rsidRPr="00C11DDB">
        <w:t xml:space="preserve">обнаруживают тельца </w:t>
      </w:r>
      <w:proofErr w:type="spellStart"/>
      <w:r w:rsidRPr="00C11DDB">
        <w:t>Михаэлиса</w:t>
      </w:r>
      <w:proofErr w:type="spellEnd"/>
      <w:r w:rsidRPr="00C11DDB">
        <w:t>-Гутмана.</w:t>
      </w:r>
    </w:p>
    <w:p w:rsidR="00715F8C" w:rsidRDefault="00715F8C" w:rsidP="00715F8C">
      <w:pPr>
        <w:jc w:val="both"/>
      </w:pPr>
    </w:p>
    <w:p w:rsidR="00715F8C" w:rsidRDefault="00715F8C" w:rsidP="00715F8C">
      <w:pPr>
        <w:jc w:val="both"/>
      </w:pPr>
      <w:r w:rsidRPr="00715F8C">
        <w:rPr>
          <w:b/>
          <w:u w:val="single"/>
        </w:rPr>
        <w:t>Мочекаменную болезнь</w:t>
      </w:r>
      <w:r>
        <w:t xml:space="preserve"> </w:t>
      </w:r>
      <w:r w:rsidRPr="00715F8C">
        <w:t>необходимо  дифференцировать  со</w:t>
      </w:r>
      <w:r>
        <w:t xml:space="preserve"> </w:t>
      </w:r>
      <w:r w:rsidRPr="00715F8C">
        <w:t>следующими болезнями: ос</w:t>
      </w:r>
      <w:r>
        <w:t>трый аппендицит, острый холецис</w:t>
      </w:r>
      <w:r w:rsidRPr="00715F8C">
        <w:t>тит, прободная язва желу</w:t>
      </w:r>
      <w:r>
        <w:t>дка,  острая непроходимость тон</w:t>
      </w:r>
      <w:r w:rsidRPr="00715F8C">
        <w:t>кой кишки, острый панкр</w:t>
      </w:r>
      <w:r>
        <w:t>еатит.</w:t>
      </w:r>
    </w:p>
    <w:p w:rsidR="00715F8C" w:rsidRPr="00715F8C" w:rsidRDefault="00715F8C" w:rsidP="00715F8C">
      <w:pPr>
        <w:jc w:val="both"/>
      </w:pPr>
      <w:r w:rsidRPr="00715F8C">
        <w:t>В данном  случае нельзя пост</w:t>
      </w:r>
      <w:r>
        <w:t>авить диагноз острый ап</w:t>
      </w:r>
      <w:r w:rsidRPr="00715F8C">
        <w:t>пендицит, т.к. эта болез</w:t>
      </w:r>
      <w:r>
        <w:t>нь развивается постепенно, начи</w:t>
      </w:r>
      <w:r w:rsidRPr="00715F8C">
        <w:t>нается  с  повышения тем</w:t>
      </w:r>
      <w:r>
        <w:t>пературы тела и болей в эпигаст</w:t>
      </w:r>
      <w:r w:rsidRPr="00715F8C">
        <w:t>ральной, а затем в подвздошной области, тошноты и рвоты.</w:t>
      </w:r>
      <w:r>
        <w:t xml:space="preserve"> </w:t>
      </w:r>
      <w:r w:rsidRPr="00715F8C">
        <w:t>Пульс учащен, выражены с</w:t>
      </w:r>
      <w:r>
        <w:t xml:space="preserve">имптомы </w:t>
      </w:r>
      <w:proofErr w:type="spellStart"/>
      <w:r>
        <w:t>Ровзинга</w:t>
      </w:r>
      <w:proofErr w:type="spellEnd"/>
      <w:r>
        <w:t xml:space="preserve"> и </w:t>
      </w:r>
      <w:proofErr w:type="spellStart"/>
      <w:r>
        <w:t>Щеткина-Блюм</w:t>
      </w:r>
      <w:r w:rsidRPr="00715F8C">
        <w:t>берга</w:t>
      </w:r>
      <w:proofErr w:type="spellEnd"/>
      <w:r w:rsidRPr="00715F8C">
        <w:t>.  Все это отсутств</w:t>
      </w:r>
      <w:r>
        <w:t>ует у данного больного,  следова</w:t>
      </w:r>
      <w:r w:rsidRPr="00715F8C">
        <w:t>тельно, это не аппендицит.</w:t>
      </w:r>
    </w:p>
    <w:p w:rsidR="00715F8C" w:rsidRPr="00715F8C" w:rsidRDefault="00715F8C" w:rsidP="00715F8C">
      <w:pPr>
        <w:jc w:val="both"/>
      </w:pPr>
      <w:r w:rsidRPr="00715F8C">
        <w:t>Также нельзя поставить  диагноз  острый  холецистит,</w:t>
      </w:r>
      <w:r>
        <w:t xml:space="preserve"> </w:t>
      </w:r>
      <w:r w:rsidRPr="00715F8C">
        <w:t>отличительной чертой  которого  являются  сильные боли в</w:t>
      </w:r>
      <w:r>
        <w:t xml:space="preserve"> </w:t>
      </w:r>
      <w:r w:rsidRPr="00715F8C">
        <w:t>правом подреберье,  кото</w:t>
      </w:r>
      <w:r>
        <w:t>рые возникают внезапно, иррадии</w:t>
      </w:r>
      <w:r w:rsidRPr="00715F8C">
        <w:t>руют в правую лопатку, правую надключичную ямку. Имеется</w:t>
      </w:r>
      <w:r>
        <w:t xml:space="preserve"> </w:t>
      </w:r>
      <w:r w:rsidRPr="00715F8C">
        <w:t>напряжение мышц передней брюшной стенки.  Желчный пузырь</w:t>
      </w:r>
    </w:p>
    <w:p w:rsidR="00715F8C" w:rsidRPr="00715F8C" w:rsidRDefault="00715F8C" w:rsidP="00715F8C">
      <w:pPr>
        <w:jc w:val="both"/>
      </w:pPr>
      <w:r w:rsidRPr="00715F8C">
        <w:t>увеличен.</w:t>
      </w:r>
    </w:p>
    <w:p w:rsidR="00715F8C" w:rsidRPr="00715F8C" w:rsidRDefault="004048DF" w:rsidP="00715F8C">
      <w:pPr>
        <w:jc w:val="both"/>
      </w:pPr>
      <w:r w:rsidRPr="00715F8C">
        <w:t>Прободную</w:t>
      </w:r>
      <w:r w:rsidR="00715F8C" w:rsidRPr="00715F8C">
        <w:t xml:space="preserve"> язву  желу</w:t>
      </w:r>
      <w:r w:rsidR="00715F8C">
        <w:t>дка отличают сильные,  "кинжаль</w:t>
      </w:r>
      <w:r w:rsidR="00715F8C" w:rsidRPr="00715F8C">
        <w:t>ные", боли в эпигастральной области,  которые  возникают</w:t>
      </w:r>
      <w:r w:rsidR="00715F8C">
        <w:t xml:space="preserve"> </w:t>
      </w:r>
      <w:r w:rsidR="00715F8C" w:rsidRPr="00715F8C">
        <w:t>внезапно в  момент перфо</w:t>
      </w:r>
      <w:r w:rsidR="00715F8C">
        <w:t xml:space="preserve">рации.  Сопровождается перитонитом. Больной лежит </w:t>
      </w:r>
      <w:r w:rsidR="00715F8C" w:rsidRPr="00715F8C">
        <w:t>непод</w:t>
      </w:r>
      <w:r w:rsidR="00715F8C">
        <w:t>вижно,  брюшная стенка  доскооб</w:t>
      </w:r>
      <w:r w:rsidR="00715F8C" w:rsidRPr="00715F8C">
        <w:t>разно напряжена.</w:t>
      </w:r>
    </w:p>
    <w:p w:rsidR="00715F8C" w:rsidRPr="00715F8C" w:rsidRDefault="00715F8C" w:rsidP="00715F8C">
      <w:pPr>
        <w:jc w:val="both"/>
      </w:pPr>
      <w:r w:rsidRPr="00715F8C">
        <w:t>Нельзя поставить  ди</w:t>
      </w:r>
      <w:r>
        <w:t>агноз острая непроходимость тон</w:t>
      </w:r>
      <w:r w:rsidRPr="00715F8C">
        <w:t>кой кишки, т.к. она начи</w:t>
      </w:r>
      <w:r>
        <w:t>нается внезапно с сильных схват</w:t>
      </w:r>
      <w:r w:rsidRPr="00715F8C">
        <w:t>кообразных болей в живот</w:t>
      </w:r>
      <w:r>
        <w:t>е, задержки стула и газов, взду</w:t>
      </w:r>
      <w:r w:rsidRPr="00715F8C">
        <w:t>тия живота, рвоты.</w:t>
      </w:r>
    </w:p>
    <w:p w:rsidR="00C11DDB" w:rsidRPr="00715F8C" w:rsidRDefault="00715F8C" w:rsidP="00715F8C">
      <w:pPr>
        <w:jc w:val="both"/>
      </w:pPr>
      <w:r w:rsidRPr="00715F8C">
        <w:t xml:space="preserve">Острый </w:t>
      </w:r>
      <w:r w:rsidR="004048DF" w:rsidRPr="00715F8C">
        <w:t>панкреатит</w:t>
      </w:r>
      <w:r w:rsidRPr="00715F8C">
        <w:t xml:space="preserve"> про</w:t>
      </w:r>
      <w:r>
        <w:t>является сильными болями в  эпи</w:t>
      </w:r>
      <w:r w:rsidRPr="00715F8C">
        <w:t xml:space="preserve">гастральной области, </w:t>
      </w:r>
      <w:proofErr w:type="spellStart"/>
      <w:r w:rsidRPr="00715F8C">
        <w:t>ирр</w:t>
      </w:r>
      <w:r>
        <w:t>адиирующими</w:t>
      </w:r>
      <w:proofErr w:type="spellEnd"/>
      <w:r>
        <w:t xml:space="preserve"> в спину, плечо, под</w:t>
      </w:r>
      <w:r w:rsidRPr="00715F8C">
        <w:t>реберье и быстро приобретающими  характер  опоясывающих.</w:t>
      </w:r>
      <w:r>
        <w:t xml:space="preserve"> </w:t>
      </w:r>
      <w:r w:rsidRPr="00715F8C">
        <w:t>Наблюдается рвота.  Обще</w:t>
      </w:r>
      <w:r>
        <w:t>е состояние тяжелое, но темпера</w:t>
      </w:r>
      <w:r w:rsidRPr="00715F8C">
        <w:t>тура тела нормальная. Содержание диастазы в крови и моче</w:t>
      </w:r>
      <w:r>
        <w:t xml:space="preserve"> </w:t>
      </w:r>
      <w:r w:rsidRPr="00715F8C">
        <w:t>повышено.</w:t>
      </w:r>
    </w:p>
    <w:p w:rsidR="00715F8C" w:rsidRPr="00715F8C" w:rsidRDefault="00715F8C" w:rsidP="00831AB6">
      <w:pPr>
        <w:jc w:val="both"/>
      </w:pPr>
    </w:p>
    <w:p w:rsidR="008B6539" w:rsidRDefault="008B6539" w:rsidP="00831AB6">
      <w:pPr>
        <w:jc w:val="both"/>
        <w:rPr>
          <w:b/>
          <w:i/>
        </w:rPr>
      </w:pPr>
      <w:r w:rsidRPr="008B6539">
        <w:rPr>
          <w:b/>
          <w:i/>
        </w:rPr>
        <w:t>Лечение</w:t>
      </w:r>
      <w:r>
        <w:rPr>
          <w:b/>
          <w:i/>
        </w:rPr>
        <w:t>:</w:t>
      </w:r>
    </w:p>
    <w:p w:rsidR="008A2B86" w:rsidRDefault="008A2B86" w:rsidP="00831AB6">
      <w:pPr>
        <w:jc w:val="both"/>
      </w:pPr>
      <w:r>
        <w:lastRenderedPageBreak/>
        <w:t xml:space="preserve">Лечение </w:t>
      </w:r>
      <w:r w:rsidRPr="008A2B86">
        <w:rPr>
          <w:i/>
          <w:u w:val="single"/>
        </w:rPr>
        <w:t>опухоли мочевого пузыря</w:t>
      </w:r>
      <w:r>
        <w:t xml:space="preserve">: хирургическое удаление образования. Консультация онколога для назначения </w:t>
      </w:r>
      <w:proofErr w:type="spellStart"/>
      <w:r>
        <w:t>химио</w:t>
      </w:r>
      <w:proofErr w:type="spellEnd"/>
      <w:r>
        <w:t>- или лучевой терапии.</w:t>
      </w:r>
    </w:p>
    <w:p w:rsidR="008A2B86" w:rsidRDefault="008A2B86" w:rsidP="00831AB6">
      <w:pPr>
        <w:jc w:val="both"/>
      </w:pPr>
      <w:r>
        <w:t xml:space="preserve">Лечение </w:t>
      </w:r>
      <w:r w:rsidRPr="008A2B86">
        <w:rPr>
          <w:i/>
          <w:u w:val="single"/>
        </w:rPr>
        <w:t>МКБ</w:t>
      </w:r>
      <w:r>
        <w:rPr>
          <w:i/>
          <w:u w:val="single"/>
        </w:rPr>
        <w:t xml:space="preserve"> левой почки </w:t>
      </w:r>
    </w:p>
    <w:p w:rsidR="008A2B86" w:rsidRDefault="002373F5" w:rsidP="008A2B86">
      <w:pPr>
        <w:numPr>
          <w:ilvl w:val="0"/>
          <w:numId w:val="6"/>
        </w:numPr>
        <w:jc w:val="both"/>
      </w:pPr>
      <w:r>
        <w:t>Фарм</w:t>
      </w:r>
      <w:r w:rsidR="00F324F1">
        <w:t>ако</w:t>
      </w:r>
      <w:r>
        <w:t>терапия</w:t>
      </w:r>
      <w:r w:rsidR="008A2B86">
        <w:t xml:space="preserve">: </w:t>
      </w:r>
    </w:p>
    <w:p w:rsidR="008A2B86" w:rsidRDefault="008A2B86" w:rsidP="008A2B86">
      <w:pPr>
        <w:jc w:val="both"/>
      </w:pPr>
      <w:r>
        <w:t>Спазмолит</w:t>
      </w:r>
      <w:r w:rsidR="002373F5">
        <w:t xml:space="preserve">ики и спазмоанальгетики </w:t>
      </w:r>
    </w:p>
    <w:p w:rsidR="002373F5" w:rsidRDefault="002373F5" w:rsidP="008A2B86">
      <w:pPr>
        <w:jc w:val="both"/>
      </w:pPr>
      <w:r>
        <w:t xml:space="preserve">Растительные препараты </w:t>
      </w:r>
    </w:p>
    <w:p w:rsidR="002373F5" w:rsidRDefault="002373F5" w:rsidP="008A2B86">
      <w:pPr>
        <w:jc w:val="both"/>
      </w:pPr>
      <w:r>
        <w:t>Уралит У</w:t>
      </w:r>
    </w:p>
    <w:p w:rsidR="002373F5" w:rsidRDefault="002373F5" w:rsidP="008A2B86">
      <w:pPr>
        <w:jc w:val="both"/>
      </w:pPr>
      <w:proofErr w:type="spellStart"/>
      <w:r>
        <w:t>Милурит</w:t>
      </w:r>
      <w:proofErr w:type="spellEnd"/>
    </w:p>
    <w:p w:rsidR="002373F5" w:rsidRDefault="002373F5" w:rsidP="008A2B86">
      <w:pPr>
        <w:jc w:val="both"/>
      </w:pPr>
      <w:r>
        <w:t xml:space="preserve">НПВС </w:t>
      </w:r>
    </w:p>
    <w:p w:rsidR="008A2B86" w:rsidRDefault="002373F5" w:rsidP="002373F5">
      <w:pPr>
        <w:numPr>
          <w:ilvl w:val="0"/>
          <w:numId w:val="6"/>
        </w:numPr>
        <w:jc w:val="both"/>
      </w:pPr>
      <w:r>
        <w:t>Хирургическое:</w:t>
      </w:r>
    </w:p>
    <w:p w:rsidR="002373F5" w:rsidRDefault="002373F5" w:rsidP="002373F5">
      <w:pPr>
        <w:jc w:val="both"/>
      </w:pPr>
      <w:r>
        <w:t xml:space="preserve">Дистанционная ударно-волновая </w:t>
      </w:r>
      <w:proofErr w:type="spellStart"/>
      <w:r>
        <w:t>литотрисия</w:t>
      </w:r>
      <w:proofErr w:type="spellEnd"/>
    </w:p>
    <w:p w:rsidR="002373F5" w:rsidRDefault="002373F5" w:rsidP="002373F5">
      <w:pPr>
        <w:numPr>
          <w:ilvl w:val="0"/>
          <w:numId w:val="6"/>
        </w:numPr>
        <w:jc w:val="both"/>
      </w:pPr>
      <w:r>
        <w:t>Рекомендации:</w:t>
      </w:r>
    </w:p>
    <w:p w:rsidR="002373F5" w:rsidRPr="008A2B86" w:rsidRDefault="002373F5" w:rsidP="002373F5">
      <w:pPr>
        <w:jc w:val="both"/>
      </w:pPr>
      <w:r>
        <w:t>Ограничить потребление продуктов с высоким содержанием пуриновых соединений, например, мясные блюда, бобовые, кофе, шоколад, какао. Санаторно-курортное лечение.</w:t>
      </w:r>
    </w:p>
    <w:sectPr w:rsidR="002373F5" w:rsidRPr="008A2B86" w:rsidSect="00C11D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970691"/>
    <w:multiLevelType w:val="hybridMultilevel"/>
    <w:tmpl w:val="1B029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C39DA"/>
    <w:multiLevelType w:val="hybridMultilevel"/>
    <w:tmpl w:val="67E89D72"/>
    <w:lvl w:ilvl="0" w:tplc="B310025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17740F"/>
    <w:multiLevelType w:val="hybridMultilevel"/>
    <w:tmpl w:val="F7F06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C22077"/>
    <w:multiLevelType w:val="hybridMultilevel"/>
    <w:tmpl w:val="38406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25838"/>
    <w:multiLevelType w:val="hybridMultilevel"/>
    <w:tmpl w:val="926CB0E8"/>
    <w:lvl w:ilvl="0" w:tplc="661E1C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47"/>
    <w:rsid w:val="00030173"/>
    <w:rsid w:val="0004528D"/>
    <w:rsid w:val="000C2376"/>
    <w:rsid w:val="000D6C6D"/>
    <w:rsid w:val="001945F1"/>
    <w:rsid w:val="002373F5"/>
    <w:rsid w:val="002B4A18"/>
    <w:rsid w:val="002D3119"/>
    <w:rsid w:val="00337A6F"/>
    <w:rsid w:val="00344211"/>
    <w:rsid w:val="00363047"/>
    <w:rsid w:val="003C3DF9"/>
    <w:rsid w:val="004048DF"/>
    <w:rsid w:val="004B2901"/>
    <w:rsid w:val="00506EB9"/>
    <w:rsid w:val="00512246"/>
    <w:rsid w:val="005D5E02"/>
    <w:rsid w:val="006016FE"/>
    <w:rsid w:val="00670945"/>
    <w:rsid w:val="0068680D"/>
    <w:rsid w:val="006A15A0"/>
    <w:rsid w:val="00715F8C"/>
    <w:rsid w:val="0079471D"/>
    <w:rsid w:val="00831AB6"/>
    <w:rsid w:val="008A2B86"/>
    <w:rsid w:val="008A6B52"/>
    <w:rsid w:val="008B6539"/>
    <w:rsid w:val="00962531"/>
    <w:rsid w:val="00985029"/>
    <w:rsid w:val="009A2B88"/>
    <w:rsid w:val="009C0E12"/>
    <w:rsid w:val="00A21CE3"/>
    <w:rsid w:val="00AE6EE9"/>
    <w:rsid w:val="00BD36FD"/>
    <w:rsid w:val="00C11DDB"/>
    <w:rsid w:val="00C737C7"/>
    <w:rsid w:val="00D211D1"/>
    <w:rsid w:val="00D53816"/>
    <w:rsid w:val="00F27B77"/>
    <w:rsid w:val="00F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1AB6-4DD4-462F-A98F-5DA6D85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47"/>
    <w:rPr>
      <w:sz w:val="24"/>
      <w:szCs w:val="24"/>
    </w:rPr>
  </w:style>
  <w:style w:type="paragraph" w:styleId="2">
    <w:name w:val="heading 2"/>
    <w:basedOn w:val="a"/>
    <w:next w:val="a"/>
    <w:qFormat/>
    <w:rsid w:val="00363047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63047"/>
    <w:pPr>
      <w:jc w:val="both"/>
    </w:pPr>
    <w:rPr>
      <w:sz w:val="20"/>
      <w:szCs w:val="20"/>
      <w:u w:val="single"/>
    </w:rPr>
  </w:style>
  <w:style w:type="paragraph" w:customStyle="1" w:styleId="BodyText3">
    <w:name w:val="Body Text 3"/>
    <w:basedOn w:val="a"/>
    <w:rsid w:val="00363047"/>
    <w:pPr>
      <w:jc w:val="both"/>
    </w:pPr>
    <w:rPr>
      <w:szCs w:val="20"/>
    </w:rPr>
  </w:style>
  <w:style w:type="paragraph" w:customStyle="1" w:styleId="Noy0ee8eu">
    <w:name w:val="Noy0ee8eu"/>
    <w:rsid w:val="00BD36FD"/>
    <w:pPr>
      <w:widowControl w:val="0"/>
      <w:overflowPunct w:val="0"/>
      <w:autoSpaceDE w:val="0"/>
      <w:autoSpaceDN w:val="0"/>
      <w:adjustRightInd w:val="0"/>
    </w:pPr>
  </w:style>
  <w:style w:type="paragraph" w:styleId="a4">
    <w:name w:val="Subtitle"/>
    <w:basedOn w:val="a"/>
    <w:qFormat/>
    <w:rsid w:val="00030173"/>
    <w:pPr>
      <w:jc w:val="center"/>
    </w:pPr>
    <w:rPr>
      <w:sz w:val="36"/>
      <w:szCs w:val="20"/>
    </w:rPr>
  </w:style>
  <w:style w:type="table" w:styleId="a5">
    <w:name w:val="Table Grid"/>
    <w:basedOn w:val="a1"/>
    <w:rsid w:val="00962531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Samsung Electronics</Company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ektozz</dc:creator>
  <cp:keywords/>
  <cp:lastModifiedBy>Тест</cp:lastModifiedBy>
  <cp:revision>3</cp:revision>
  <dcterms:created xsi:type="dcterms:W3CDTF">2024-05-14T14:05:00Z</dcterms:created>
  <dcterms:modified xsi:type="dcterms:W3CDTF">2024-05-14T14:05:00Z</dcterms:modified>
</cp:coreProperties>
</file>