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536E6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</w:p>
    <w:p w:rsidR="00000000" w:rsidRDefault="009536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536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536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536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536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536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536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536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536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536E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:rsidR="00000000" w:rsidRDefault="009536E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Дисциплина Социальная психология</w:t>
      </w:r>
    </w:p>
    <w:p w:rsidR="00000000" w:rsidRDefault="009536E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Наименование Связь самооценки и конформизма у старших дошкольников</w:t>
      </w:r>
    </w:p>
    <w:p w:rsidR="00000000" w:rsidRDefault="009536E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9536E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9536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9536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I. Теоретический анализ самооценки и конформизма</w:t>
      </w:r>
    </w:p>
    <w:p w:rsidR="00000000" w:rsidRDefault="009536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1. Самооценка и конформизм в работах отечественных и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зарубежных психологов</w:t>
      </w:r>
    </w:p>
    <w:p w:rsidR="00000000" w:rsidRDefault="009536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Анализ зарубежных и отечественных исследований конформизма</w:t>
      </w:r>
    </w:p>
    <w:p w:rsidR="00000000" w:rsidRDefault="009536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Анализ зарубежных и отечественных исследований самооценки</w:t>
      </w:r>
    </w:p>
    <w:p w:rsidR="00000000" w:rsidRDefault="009536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Исследование влияния самооценки на поведение в группе у старших дошкольников</w:t>
      </w:r>
    </w:p>
    <w:p w:rsidR="00000000" w:rsidRDefault="009536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Самооценка старших дошкол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ьников</w:t>
      </w:r>
    </w:p>
    <w:p w:rsidR="00000000" w:rsidRDefault="009536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Конформизм у дошкольников</w:t>
      </w:r>
    </w:p>
    <w:p w:rsidR="00000000" w:rsidRDefault="009536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II. Эмпирическое исследование связи конформизма и самооценки у старших дошкольников</w:t>
      </w:r>
    </w:p>
    <w:p w:rsidR="00000000" w:rsidRDefault="009536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План исследования</w:t>
      </w:r>
    </w:p>
    <w:p w:rsidR="00000000" w:rsidRDefault="009536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Исследование самооценки</w:t>
      </w:r>
    </w:p>
    <w:p w:rsidR="00000000" w:rsidRDefault="009536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Исследование конформности</w:t>
      </w:r>
    </w:p>
    <w:p w:rsidR="00000000" w:rsidRDefault="009536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9536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9536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9536E6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проблем дошкольного возраста имеет особую значимость, потому что в детском возрасте закладываются важные личностные качества, что усиливает значимость проблемы развития детской личности, и важную роль в этом играет выявление условий развития</w:t>
      </w:r>
      <w:r>
        <w:rPr>
          <w:color w:val="000000"/>
          <w:sz w:val="28"/>
          <w:szCs w:val="28"/>
          <w:lang w:val="ru-RU"/>
        </w:rPr>
        <w:t xml:space="preserve"> личности ребенка. [3]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Исследованием психологических особенностей детей дошкольного возраста занимались многие отечественные ученые психологи и педагоги: В.С. Мухина, А.Н. Леонтьев, Л.В. Запорожец, Д.Б. Эльконин, Л.С. Выготский, А.А. Люблинская, В.В. Зеньк</w:t>
      </w:r>
      <w:r>
        <w:rPr>
          <w:color w:val="000000"/>
          <w:sz w:val="28"/>
          <w:szCs w:val="28"/>
          <w:lang w:val="ru-RU"/>
        </w:rPr>
        <w:t>овский, А.В., Божович Л.И. и зарубежные: К. Роджерс, Ж. Пиаже, З. Фрейд, Л. Кольберг, В. Штерн и др.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самооценки широко представлено в отечественных и зарубежных исследованиях. К ним относятся работы, посвященные анализу структуры Я-концепции, само</w:t>
      </w:r>
      <w:r>
        <w:rPr>
          <w:color w:val="000000"/>
          <w:sz w:val="28"/>
          <w:szCs w:val="28"/>
          <w:lang w:val="ru-RU"/>
        </w:rPr>
        <w:t>сознания (Р. Бернс, И.И. Чеснокова), изучению возрастных особенностей формирования "Я-образа", самооценки (Н.Н. Авдеева, Р. Бернс, Л.В. Бороздина), связи компонентов самосознания с другими личностными образованиями (A. E. Личко, И.В. Боязитова, Д. Берне, Э</w:t>
      </w:r>
      <w:r>
        <w:rPr>
          <w:color w:val="000000"/>
          <w:sz w:val="28"/>
          <w:szCs w:val="28"/>
          <w:lang w:val="ru-RU"/>
        </w:rPr>
        <w:t>.Л. Носенко и др.).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Большое влияние на поведение человека в группе имеют его личностные качества: характер, самооценка, воля и т.д.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Самыми информативными в области социальной психологии стали эксперименты, в которых испытуемый оказывается в конфликтной сит</w:t>
      </w:r>
      <w:r>
        <w:rPr>
          <w:color w:val="000000"/>
          <w:sz w:val="28"/>
          <w:szCs w:val="28"/>
          <w:lang w:val="ru-RU"/>
        </w:rPr>
        <w:t>уации. К их числу можно отнести эксперимент Аша, изучавшего конфликт между знанием истины и конформностью. [12]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предложенного исследования определяется тем, что большая часть информации о причинах и факторах конформного поведения в основном по</w:t>
      </w:r>
      <w:r>
        <w:rPr>
          <w:color w:val="000000"/>
          <w:sz w:val="28"/>
          <w:szCs w:val="28"/>
          <w:lang w:val="ru-RU"/>
        </w:rPr>
        <w:t>лучена благодаря социально-психологическим экспериментам, проводимым с участием взрослых людей. При этом, сколько-нибудь развернутые данные о роли конформизма в развитии личности ребенка отсутствуют.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 исследования: проявление конформизма в группе све</w:t>
      </w:r>
      <w:r>
        <w:rPr>
          <w:color w:val="000000"/>
          <w:sz w:val="28"/>
          <w:szCs w:val="28"/>
          <w:lang w:val="ru-RU"/>
        </w:rPr>
        <w:t>рстников у старших дошкольников.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 исследования: связь конформизма и самооценки у старших дошкольников.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настоящего исследования стало изучение конформного поведения у старших дошкольников.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Задачей настоящего исследование было проверить предполо</w:t>
      </w:r>
      <w:r>
        <w:rPr>
          <w:color w:val="000000"/>
          <w:sz w:val="28"/>
          <w:szCs w:val="28"/>
          <w:lang w:val="ru-RU"/>
        </w:rPr>
        <w:t>жение, что конформное поведение старшего дошкольника связано: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 самооценкой: дети с высокой самооценкой менее склонны проявлять конформность, чем дети с низкой самооценкой;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методов исследования были использованы: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теоретический анализ психоло</w:t>
      </w:r>
      <w:r>
        <w:rPr>
          <w:color w:val="000000"/>
          <w:sz w:val="28"/>
          <w:szCs w:val="28"/>
          <w:lang w:val="ru-RU"/>
        </w:rPr>
        <w:t>гической литературы;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эмпирические методы: методика "Лесенка" (В.Г. Щур), методика Аша, метод экспертных оценок, естественный эксперимент.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исследовании приняло участие 20 "наивных" испытуемых - 6 девочек и 14 мальчиков 6-7 лет. Обследование проводилось </w:t>
      </w:r>
      <w:r>
        <w:rPr>
          <w:color w:val="000000"/>
          <w:sz w:val="28"/>
          <w:szCs w:val="28"/>
          <w:lang w:val="ru-RU"/>
        </w:rPr>
        <w:t>на базе МБОУ № 255 г. Барнаула.</w:t>
      </w:r>
    </w:p>
    <w:p w:rsidR="00000000" w:rsidRDefault="009536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I. Теоретический анализ самооценки и конформизма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 Самооценка и конформизм в работах отечественных и зарубежных психологов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536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Анализ зарубежных и отечественных исследований конформизма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самых распростране</w:t>
      </w:r>
      <w:r>
        <w:rPr>
          <w:color w:val="000000"/>
          <w:sz w:val="28"/>
          <w:szCs w:val="28"/>
          <w:lang w:val="ru-RU"/>
        </w:rPr>
        <w:t>нных психологических феноменов является феномен группового давления, или конформизма (от лат. conformis - подобный, соответствующий). Он заключается в изменении лицом своих взглядов или поведения под реальным или представляемым давлением группы. Феномен во</w:t>
      </w:r>
      <w:r>
        <w:rPr>
          <w:color w:val="000000"/>
          <w:sz w:val="28"/>
          <w:szCs w:val="28"/>
          <w:lang w:val="ru-RU"/>
        </w:rPr>
        <w:t>зникает тогда, когда есть конфликт между мнением группы и индивида и этот конфликт решается в пользу группы.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Конформизм порождает конформность, внешнюю или внутреннюю. При внешней конформности индивид лишь внешне принимает мнение группы: внешние действия с</w:t>
      </w:r>
      <w:r>
        <w:rPr>
          <w:color w:val="000000"/>
          <w:sz w:val="28"/>
          <w:szCs w:val="28"/>
          <w:lang w:val="ru-RU"/>
        </w:rPr>
        <w:t>оответствуют давлению группы, однако внутренне человек не согласен. Такое поведение еще называют покладистым. При внутренней конформности индивид действительно под давлением других усваивает мнение большинства. [7]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Вот что писал отношения человека и группы</w:t>
      </w:r>
      <w:r>
        <w:rPr>
          <w:color w:val="000000"/>
          <w:sz w:val="28"/>
          <w:szCs w:val="28"/>
          <w:lang w:val="ru-RU"/>
        </w:rPr>
        <w:t xml:space="preserve"> С. Милграм: "Три темы кажутся мне центральными во взаимоотношениях человека с социумом: подчинение индивидуума давлению группы, конфликт между голосом совести и требованиями авторитетного лица и конструктивное влияние группы на человека.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Основополагающий </w:t>
      </w:r>
      <w:r>
        <w:rPr>
          <w:color w:val="000000"/>
          <w:sz w:val="28"/>
          <w:szCs w:val="28"/>
          <w:lang w:val="ru-RU"/>
        </w:rPr>
        <w:t>факт человеческого опыта состоит в том, что, приходя в этот мир, мы становится элементами социальной матрицы, в то время как каждый из нас стремится быть индивидуальностью. Социальная матрица необходима нам, она вооружает нас языком и навыками цивилизованн</w:t>
      </w:r>
      <w:r>
        <w:rPr>
          <w:color w:val="000000"/>
          <w:sz w:val="28"/>
          <w:szCs w:val="28"/>
          <w:lang w:val="ru-RU"/>
        </w:rPr>
        <w:t>ой жизни, в ней формируются наши цели, ценности и потребность в контактах с другими людьми.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после того как человек приобретает ценности, они становятся его личным достоянием, и ему приходится бороться за то, чтобы защитить свое сознание, свои убежде</w:t>
      </w:r>
      <w:r>
        <w:rPr>
          <w:color w:val="000000"/>
          <w:sz w:val="28"/>
          <w:szCs w:val="28"/>
          <w:lang w:val="ru-RU"/>
        </w:rPr>
        <w:t>ния и способность к критическому мышлению от давления толпы и авторитарного диктата. Чтобы сохранить все лучшее в себе, человеку часто приходится в одиночку противостоять толпе и авторитетам. Человек усваивает эти ценности и затем должен отстаивать их от п</w:t>
      </w:r>
      <w:r>
        <w:rPr>
          <w:color w:val="000000"/>
          <w:sz w:val="28"/>
          <w:szCs w:val="28"/>
          <w:lang w:val="ru-RU"/>
        </w:rPr>
        <w:t>осягательств того самого общества, которое подарило ему их.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сожалению, эксперименты показывают, что так бывает далеко не всегда. [12]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эксперимент, который продемонстрировал феномен конформизма, провел американский психолог С. Аш в 1951 году.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экс</w:t>
      </w:r>
      <w:r>
        <w:rPr>
          <w:color w:val="000000"/>
          <w:sz w:val="28"/>
          <w:szCs w:val="28"/>
          <w:lang w:val="ru-RU"/>
        </w:rPr>
        <w:t xml:space="preserve">периментах Аша группе, состоящей из четырех-шести человек, показывали отрезок определенной длины, после чего каждый член группы должен был сказать, который из трех других отрезков равен по длине эталонному. В группе был только один </w:t>
      </w:r>
      <w:r>
        <w:rPr>
          <w:rFonts w:ascii="Cambria Math" w:hAnsi="Cambria Math" w:cs="Cambria Math"/>
          <w:color w:val="000000"/>
          <w:sz w:val="28"/>
          <w:szCs w:val="28"/>
          <w:lang w:val="ru-RU"/>
        </w:rPr>
        <w:t>≪</w:t>
      </w:r>
      <w:r>
        <w:rPr>
          <w:color w:val="000000"/>
          <w:sz w:val="28"/>
          <w:szCs w:val="28"/>
          <w:lang w:val="ru-RU"/>
        </w:rPr>
        <w:t>наивный испытуемый</w:t>
      </w:r>
      <w:r>
        <w:rPr>
          <w:rFonts w:ascii="Cambria Math" w:hAnsi="Cambria Math" w:cs="Cambria Math"/>
          <w:color w:val="000000"/>
          <w:sz w:val="28"/>
          <w:szCs w:val="28"/>
          <w:lang w:val="ru-RU"/>
        </w:rPr>
        <w:t>≫</w:t>
      </w:r>
      <w:r>
        <w:rPr>
          <w:color w:val="000000"/>
          <w:sz w:val="28"/>
          <w:szCs w:val="28"/>
          <w:lang w:val="ru-RU"/>
        </w:rPr>
        <w:t>, вс</w:t>
      </w:r>
      <w:r>
        <w:rPr>
          <w:color w:val="000000"/>
          <w:sz w:val="28"/>
          <w:szCs w:val="28"/>
          <w:lang w:val="ru-RU"/>
        </w:rPr>
        <w:t>е остальные были в сговоре с экспериментатором и, следуя его инструкции, каждый раз давали неверный ответ. Согласно замыслу, наивному испытуемому всегда приходилось выслушать мнение большинства, прежде чем объявить свой ответ. Аш обнаружил, что при такой ф</w:t>
      </w:r>
      <w:r>
        <w:rPr>
          <w:color w:val="000000"/>
          <w:sz w:val="28"/>
          <w:szCs w:val="28"/>
          <w:lang w:val="ru-RU"/>
        </w:rPr>
        <w:t>орме социального давлений значительное число испытуемых отказывается доверять собственным безошибочным впечатлениям и соглашается с мнением группы. [12]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исследователи в опытах Аша увидели отражение тех конфликтов и противоречий, которые существуют в</w:t>
      </w:r>
      <w:r>
        <w:rPr>
          <w:color w:val="000000"/>
          <w:sz w:val="28"/>
          <w:szCs w:val="28"/>
          <w:lang w:val="ru-RU"/>
        </w:rPr>
        <w:t xml:space="preserve"> отношениях между людьми в современном обществе. Конформизм объявляется неизбежным результатом развития общества. "Наш век может быть назван веком конформизма", - заявляют Д. Крэч, Р. Кратчфилд и Е. Баллэчей, и дальше: "Есть свидетельства, что современные </w:t>
      </w:r>
      <w:r>
        <w:rPr>
          <w:color w:val="000000"/>
          <w:sz w:val="28"/>
          <w:szCs w:val="28"/>
          <w:lang w:val="ru-RU"/>
        </w:rPr>
        <w:t>культуры различаются по степени внедрения склонности к конформности своим членам". "Цена социального принятия есть конформизм и потеря независимости", - пишет Д. Генри в работе с красноречивым названием "Культура против человека". "Тенденция к конформности</w:t>
      </w:r>
      <w:r>
        <w:rPr>
          <w:color w:val="000000"/>
          <w:sz w:val="28"/>
          <w:szCs w:val="28"/>
          <w:lang w:val="ru-RU"/>
        </w:rPr>
        <w:t xml:space="preserve"> - фундаментальное свойство личности", - утверждает Р. Кратчфилд. [4]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Конформизм является проявлением определенной пассивности и беспомощности относительно группы. В основном человек выбирает конформное поведение для того, чтобы не быть отвергнутым группой</w:t>
      </w:r>
      <w:r>
        <w:rPr>
          <w:color w:val="000000"/>
          <w:sz w:val="28"/>
          <w:szCs w:val="28"/>
          <w:lang w:val="ru-RU"/>
        </w:rPr>
        <w:t>, но могут быть и другие причины. Склонность к конформизму зависит от: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увеличения численности группы: увеличение числа членов группы приводит к усилению коллективного давления, однако эта связь не является прямо пропорциональной. Так, 3-4 человека "давят</w:t>
      </w:r>
      <w:r>
        <w:rPr>
          <w:color w:val="000000"/>
          <w:sz w:val="28"/>
          <w:szCs w:val="28"/>
          <w:lang w:val="ru-RU"/>
        </w:rPr>
        <w:t>" больше двух, однако дальнейший рост размера группы до 10-15 человек давления практически не добавляет;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референтности группы: если группа является эталонной для человека, ему трудно с ней не согласиться;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состава группы: трудно противостоять группе, в </w:t>
      </w:r>
      <w:r>
        <w:rPr>
          <w:color w:val="000000"/>
          <w:sz w:val="28"/>
          <w:szCs w:val="28"/>
          <w:lang w:val="ru-RU"/>
        </w:rPr>
        <w:t>которой есть выдающиеся люди или лица, которые являются общепризнанными экспертами в определенной области;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сплоченности группы: чем больше дел связывают членов группы между собой, тем сильнее будет ее давление;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единодушия членов группы: наличие в данно</w:t>
      </w:r>
      <w:r>
        <w:rPr>
          <w:color w:val="000000"/>
          <w:sz w:val="28"/>
          <w:szCs w:val="28"/>
          <w:lang w:val="ru-RU"/>
        </w:rPr>
        <w:t>й группе хотя бы незначительных расхождений во взглядах существенно снижает уровень давления;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профессионализма человека: когда в области, относительно которой осуществляется давление, лицо не чувствует себя специалистом, давление группы будет сильнее;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статуса лица: чем ниже статус в группе имеет определенное лицо, тем больше вероятность, что оно займет конформистскую позицию; чем выше социальный статус лица, которое инициировало давление, тем больше будет давление;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уровня самооценки: чем ниже уровень </w:t>
      </w:r>
      <w:r>
        <w:rPr>
          <w:color w:val="000000"/>
          <w:sz w:val="28"/>
          <w:szCs w:val="28"/>
          <w:lang w:val="ru-RU"/>
        </w:rPr>
        <w:t>самооценки, тем конформнее человек;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сложности проблемы: чем сложнее проблема решается группой, тем большее давление группы;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понятности задачи: чем непонятнее сформулировано задание, тем ощутимее будет давление группы;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способа ответа: при публичном об</w:t>
      </w:r>
      <w:r>
        <w:rPr>
          <w:color w:val="000000"/>
          <w:sz w:val="28"/>
          <w:szCs w:val="28"/>
          <w:lang w:val="ru-RU"/>
        </w:rPr>
        <w:t>разе ответа конформность растет;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возраста: у детей конформность выше, чем у взрослых;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пола: у женщин конформность выше, чем у мужчин.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следует, однако, считать, что все люди при указанных выше обстоятельствах меняют свои взгляды или поведение. Если ч</w:t>
      </w:r>
      <w:r>
        <w:rPr>
          <w:color w:val="000000"/>
          <w:sz w:val="28"/>
          <w:szCs w:val="28"/>
          <w:lang w:val="ru-RU"/>
        </w:rPr>
        <w:t>еловек глубоко убежден в своей правоте, он никогда не станет конформным. [3]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Конформное поведение играет двойную роль в жизнедеятельности человека. С одной стороны, если правильным является взгляд группы, она помогает скорректировать взгляды человека; одна</w:t>
      </w:r>
      <w:r>
        <w:rPr>
          <w:color w:val="000000"/>
          <w:sz w:val="28"/>
          <w:szCs w:val="28"/>
          <w:lang w:val="ru-RU"/>
        </w:rPr>
        <w:t>ко, с другой, она мешает утверждению независимого поведения и самостоятельных взглядов человека. Многие люди, осознанно или неосознанно, хотят найти свою группу и, найдя ее, с готовностью отдаются ее влиянию и принимают ее стандарты, поскольку это помогает</w:t>
      </w:r>
      <w:r>
        <w:rPr>
          <w:color w:val="000000"/>
          <w:sz w:val="28"/>
          <w:szCs w:val="28"/>
          <w:lang w:val="ru-RU"/>
        </w:rPr>
        <w:t xml:space="preserve"> им точнее сформулировать свои цели, чтобы затем устремиться к их достижению. [11]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конструктивным можно назвать давление только той группы, которая исповедует просвещенные ценности и укрепляет наши собственные идеалы. Связь лица с группой будет крепче и</w:t>
      </w:r>
      <w:r>
        <w:rPr>
          <w:color w:val="000000"/>
          <w:sz w:val="28"/>
          <w:szCs w:val="28"/>
          <w:lang w:val="ru-RU"/>
        </w:rPr>
        <w:t xml:space="preserve"> длительнее, если принятие ее норм происходит на почве внутреннего одобрения, а не конформизма. [12]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Одной из основных движущих сил развития личности и развития общества в целом, являются противоречия, порождаемые взаимодействием тенденций к коллективизму </w:t>
      </w:r>
      <w:r>
        <w:rPr>
          <w:color w:val="000000"/>
          <w:sz w:val="28"/>
          <w:szCs w:val="28"/>
          <w:lang w:val="ru-RU"/>
        </w:rPr>
        <w:t>и индивидуализму в социальных отношениях и тенденций к социализации и индивидуализации в личностном развитии. Конформное поведение является одним из механизмов социализации личности. [1]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536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Анализ зарубежных и отечественных исследований самооценки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Самоо</w:t>
      </w:r>
      <w:r>
        <w:rPr>
          <w:color w:val="000000"/>
          <w:sz w:val="28"/>
          <w:szCs w:val="28"/>
          <w:lang w:val="ru-RU"/>
        </w:rPr>
        <w:t>ценка - ценность, значимость, которой индивид наделяет себя в целом и отдельные стороны своей личности, деятельности, поведения. От нее зависят взаимоотношения человека с окружающими, его критичность, требовательность к себе, отношение к успехам и неудачам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"Совокупность психических процессов, посредством которых индивид осознает себя в качестве субъекта деятельности, называется самосознанием, а его представления о самом себе складываются в определенный "образ "Я" [1]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Самооценка - непременный спутник нашего</w:t>
      </w:r>
      <w:r>
        <w:rPr>
          <w:color w:val="000000"/>
          <w:sz w:val="28"/>
          <w:szCs w:val="28"/>
          <w:lang w:val="ru-RU"/>
        </w:rPr>
        <w:t xml:space="preserve"> "Я". Она проявляется не столько в том, что человек думает или говорит о себе, сколько в его отношении к достижениям других. [5]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конечном счете, все, что человек делает для себя, он вместе с тем делает и для других, даже если ему кажется, что он делает ч</w:t>
      </w:r>
      <w:r>
        <w:rPr>
          <w:color w:val="000000"/>
          <w:sz w:val="28"/>
          <w:szCs w:val="28"/>
          <w:lang w:val="ru-RU"/>
        </w:rPr>
        <w:t>то-то только для себя. Уже сложившиеся оценки собственного "Я" есть результат постоянного сопоставления того, что личность наблюдает в себе, с тем, что видит в других людях. Человек, уже зная что-то о себе, присматривается к другому человеку, сравнивает се</w:t>
      </w:r>
      <w:r>
        <w:rPr>
          <w:color w:val="000000"/>
          <w:sz w:val="28"/>
          <w:szCs w:val="28"/>
          <w:lang w:val="ru-RU"/>
        </w:rPr>
        <w:t>бя с ним, предполагает, что и тот небезразличен к его качествам, поступкам. Все это входит в самооценку личности и определяет ее психологическое самочувствие. Другими словами, у личности всегда имеется круг людей, с которыми она считается, среди которых че</w:t>
      </w:r>
      <w:r>
        <w:rPr>
          <w:color w:val="000000"/>
          <w:sz w:val="28"/>
          <w:szCs w:val="28"/>
          <w:lang w:val="ru-RU"/>
        </w:rPr>
        <w:t>рпает свои ценностные ориентации. [5]</w:t>
      </w:r>
    </w:p>
    <w:p w:rsidR="00000000" w:rsidRDefault="009536E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С.Л. Рубинштейн писал:". мое бытие как субъекта для меня самого опосредствовано, имеет своей необходимой предпосылкой, обусловлено моим бытием как объекта для другого. Значит, дело не только в том, что мое отношение к </w:t>
      </w:r>
      <w:r>
        <w:rPr>
          <w:color w:val="000000"/>
          <w:sz w:val="28"/>
          <w:szCs w:val="28"/>
          <w:lang w:val="ru-RU"/>
        </w:rPr>
        <w:t>себе опосредствовано моим отношением к другому (формула Маркса о Петре и Павле), но и в том, что мое отношение к самому себе опосредствовано отношением ко мне другого". [15]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Самооценка выступает как относительно устойчивое структурное образование, компонен</w:t>
      </w:r>
      <w:r>
        <w:rPr>
          <w:color w:val="000000"/>
          <w:sz w:val="28"/>
          <w:szCs w:val="28"/>
          <w:lang w:val="ru-RU"/>
        </w:rPr>
        <w:t>т Я-концепции, самосознания, и как процесс самооценивания. Основу самооценки составляет система личностных смыслов индивида, принятая им система ценностей. Рассматривается в качестве центрального личностного образования и центрального компонента Я-концепци</w:t>
      </w:r>
      <w:r>
        <w:rPr>
          <w:color w:val="000000"/>
          <w:sz w:val="28"/>
          <w:szCs w:val="28"/>
          <w:lang w:val="ru-RU"/>
        </w:rPr>
        <w:t>и. [17]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Самооценка выполняет регуляторную и защитную функции, влияя на поведение, деятельность и развитие личности, ее взаимоотношения с людьми. Отражая степень удовлетворенности или неудовлетворенности собой, уровень самоуважения, самооценка создает основ</w:t>
      </w:r>
      <w:r>
        <w:rPr>
          <w:color w:val="000000"/>
          <w:sz w:val="28"/>
          <w:szCs w:val="28"/>
          <w:lang w:val="ru-RU"/>
        </w:rPr>
        <w:t>у для восприятия собственного успеха и неуспеха, постановки целей определенного уровня, т.е. уровня притязаний личности.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Самооценка тесно связана с уровнем притязаний личности, с желаемым уровнем ее самооценки. Уровнем притязаний называют уровень образа "Я</w:t>
      </w:r>
      <w:r>
        <w:rPr>
          <w:color w:val="000000"/>
          <w:sz w:val="28"/>
          <w:szCs w:val="28"/>
          <w:lang w:val="ru-RU"/>
        </w:rPr>
        <w:t>", проявляющийся в степени трудности цели, которую человек ставит перед собой. Психолог Джемс вывел формулу, которая показывает зависимость самооценки человека от его притязаний.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Самооценка = Успех/ Притязания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Формула свидетельствует, что стремление к по</w:t>
      </w:r>
      <w:r>
        <w:rPr>
          <w:color w:val="000000"/>
          <w:sz w:val="28"/>
          <w:szCs w:val="28"/>
          <w:lang w:val="ru-RU"/>
        </w:rPr>
        <w:t>вышению самооценки может реализовываться двумя способами. Человек может или повысить притязания, чтобы пережить максимальный успех, или снизить их, чтобы избежать неудачи. В случае успеха уровень притязаний обычно повышается, человек проявляет готовность р</w:t>
      </w:r>
      <w:r>
        <w:rPr>
          <w:color w:val="000000"/>
          <w:sz w:val="28"/>
          <w:szCs w:val="28"/>
          <w:lang w:val="ru-RU"/>
        </w:rPr>
        <w:t>ешать более сложные задачи, при неуспехе - соответственно, снижается. Уровень притязаний личности в конкретной деятельности может быть определен довольно точно. [4]</w:t>
      </w:r>
    </w:p>
    <w:p w:rsidR="00000000" w:rsidRDefault="009536E6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самооценка конформизм старший дошкольник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 пришли к выводу, что уровень своих притя</w:t>
      </w:r>
      <w:r>
        <w:rPr>
          <w:color w:val="000000"/>
          <w:sz w:val="28"/>
          <w:szCs w:val="28"/>
          <w:lang w:val="ru-RU"/>
        </w:rPr>
        <w:t>заний личность устанавливает где-то между чересчур трудными и чересчур легкими задачами и целями - так, чтобы сохранить на должной высоте свою самооценку. Формирование уровня притязаний определяется не только предвосхищением успеха или неудачи, но и прежде</w:t>
      </w:r>
      <w:r>
        <w:rPr>
          <w:color w:val="000000"/>
          <w:sz w:val="28"/>
          <w:szCs w:val="28"/>
          <w:lang w:val="ru-RU"/>
        </w:rPr>
        <w:t xml:space="preserve"> всего учетом и оценкой прошлых успехов и неудач. Однако, в целом для людей характерно некоторое завышение своих способностей, приписывание себе уникальности, непохожести на других. Так, опрос взрослых людей показал, что большинство считают себя более умны</w:t>
      </w:r>
      <w:r>
        <w:rPr>
          <w:color w:val="000000"/>
          <w:sz w:val="28"/>
          <w:szCs w:val="28"/>
          <w:lang w:val="ru-RU"/>
        </w:rPr>
        <w:t>ми, чем средний человек; каждый водитель говорит, что он аккуратнее и осторожнее, чем остальные; женщины полагают, что они красивее большинства своих знакомых и т.п. [3]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Много для достижения успеха значит и представление человека о своих способностях, необ</w:t>
      </w:r>
      <w:r>
        <w:rPr>
          <w:color w:val="000000"/>
          <w:sz w:val="28"/>
          <w:szCs w:val="28"/>
          <w:lang w:val="ru-RU"/>
        </w:rPr>
        <w:t>ходимых для решения задачи. Установлено, что люди, имеющие высокое мнение о наличии у них таких способностей, в случае неудачи переживают меньше, чем те, кто считает, что соответствующие способности у них развиты слабо.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Защитная функция самооценки, обеспеч</w:t>
      </w:r>
      <w:r>
        <w:rPr>
          <w:color w:val="000000"/>
          <w:sz w:val="28"/>
          <w:szCs w:val="28"/>
          <w:lang w:val="ru-RU"/>
        </w:rPr>
        <w:t>ивая относительную стабильность и автономность (независимость) личности, может вести к искажению данных опыта и тем самым оказывать отрицательное влияние на развитие. [14]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большинства людей проявляется тенденция оценивать себя чуть выше среднего. Это поз</w:t>
      </w:r>
      <w:r>
        <w:rPr>
          <w:color w:val="000000"/>
          <w:sz w:val="28"/>
          <w:szCs w:val="28"/>
          <w:lang w:val="ru-RU"/>
        </w:rPr>
        <w:t>воляет сделать вывод, что человеку свойственна потребность в достаточно высокой самооценке, т.е. каждому хочется уважать себя. Самоуважение - один из истоков психологической устойчивости, хорошего настроения. Допустим, человек совершил ошибку, сделал что-т</w:t>
      </w:r>
      <w:r>
        <w:rPr>
          <w:color w:val="000000"/>
          <w:sz w:val="28"/>
          <w:szCs w:val="28"/>
          <w:lang w:val="ru-RU"/>
        </w:rPr>
        <w:t>о не так. Если этот человек обладает достаточно высоким уровнем самооценки, он может успокоить себя: "Ничего страшного, ведь в целом я отнюдь не глупец и подобное для меня не характерно", т.е. срабатывает психологическая защита и человек успокаивается. [6]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Низкая самооценка может быть обусловлена многими причинами. Иногда человек перенимает ее в детстве у своих родителей, так и не вобравшихся со своими личностными проблемами, в других случаях она развивается у ребенка из-за плохой успеваемости в школе, что,</w:t>
      </w:r>
      <w:r>
        <w:rPr>
          <w:color w:val="000000"/>
          <w:sz w:val="28"/>
          <w:szCs w:val="28"/>
          <w:lang w:val="ru-RU"/>
        </w:rPr>
        <w:t xml:space="preserve"> в свою очередь, является результатом неблагоприятных условий для занятий дома или недостаточного внимания родителей. Личностные проблемы, неумение вести себя в определенных ситуациях, равно как и недостаток житейских навыков также формируют у человека нел</w:t>
      </w:r>
      <w:r>
        <w:rPr>
          <w:color w:val="000000"/>
          <w:sz w:val="28"/>
          <w:szCs w:val="28"/>
          <w:lang w:val="ru-RU"/>
        </w:rPr>
        <w:t>естное мнение о себе.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Стойкая излишне низкая самооценка влечет за собой чрезмерную зависимость от других, несамостоятельность и даже заискивание, появляются робость, замкнутость, даже искаженное восприятие окружающих. [6]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Самооценка развитого индивида обра</w:t>
      </w:r>
      <w:r>
        <w:rPr>
          <w:color w:val="000000"/>
          <w:sz w:val="28"/>
          <w:szCs w:val="28"/>
          <w:lang w:val="ru-RU"/>
        </w:rPr>
        <w:t>зуют сложную систему, определяющую характер самоотношения индивида и включающую общую самооценку, которая отражает уровень самоуважения, целостное принятие или непринятие себя, и парциальные, частные самооценки, характеризующие отношение к отдельным сторон</w:t>
      </w:r>
      <w:r>
        <w:rPr>
          <w:color w:val="000000"/>
          <w:sz w:val="28"/>
          <w:szCs w:val="28"/>
          <w:lang w:val="ru-RU"/>
        </w:rPr>
        <w:t>ам своей личности, поступкам, успешности отдельных видов деятельности. Каждый из нас, намеренно или сам того не осознавая, нередко сравнивает себя с окружающими и в итоге вырабатывает довольно устойчивое мнение о своем интеллекте, внешности, здоровье, поло</w:t>
      </w:r>
      <w:r>
        <w:rPr>
          <w:color w:val="000000"/>
          <w:sz w:val="28"/>
          <w:szCs w:val="28"/>
          <w:lang w:val="ru-RU"/>
        </w:rPr>
        <w:t>жении в обществе, т.е. формирует "набор самооценок", от которого зависит: скромны мы или высокомерны, требовательны к себе или самоуспокоены, застенчивы или кичливы. [11]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Самооценка может быть разного уровня осознанности и обобщенности.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Самооценка характер</w:t>
      </w:r>
      <w:r>
        <w:rPr>
          <w:color w:val="000000"/>
          <w:sz w:val="28"/>
          <w:szCs w:val="28"/>
          <w:lang w:val="ru-RU"/>
        </w:rPr>
        <w:t>изуется по следующим параметрам: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уровню (величине) - высокая, средняя и низкая;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реалистичности - адекватная и неадекватная (завышенная и заниженная);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особенностям строения - конфликтная и бесконфликтная;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временной отнесенности - прогностическая, ак</w:t>
      </w:r>
      <w:r>
        <w:rPr>
          <w:color w:val="000000"/>
          <w:sz w:val="28"/>
          <w:szCs w:val="28"/>
          <w:lang w:val="ru-RU"/>
        </w:rPr>
        <w:t>туальная, ретроспективная;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устойчивости и др.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развития личности эффективным является такой характер самоотношения, когда достаточно высокая общая самооценка сочетается с адекватными, дифференцированными парциальными самооценками разного уровня. Устой</w:t>
      </w:r>
      <w:r>
        <w:rPr>
          <w:color w:val="000000"/>
          <w:sz w:val="28"/>
          <w:szCs w:val="28"/>
          <w:lang w:val="ru-RU"/>
        </w:rPr>
        <w:t>чивая и вместе с тем достаточно гибкая самооценка (которая при необходимости может меняться под влиянием новой информации, приобретения опыта, оценок окружающих, смены критериев и т.п.) является оптимальной как для развития, так и для продуктивности деятел</w:t>
      </w:r>
      <w:r>
        <w:rPr>
          <w:color w:val="000000"/>
          <w:sz w:val="28"/>
          <w:szCs w:val="28"/>
          <w:lang w:val="ru-RU"/>
        </w:rPr>
        <w:t>ьности. Отрицательное влияние оказывает чрезмерно устойчивая, ригидная самооценка, а также и сильно колеблющаяся, неустойчивая. Конфликтность самооценки может иметь как продуктивный, так и дезорганизующий характер. Неустойчивость и конфликтность самооценки</w:t>
      </w:r>
      <w:r>
        <w:rPr>
          <w:color w:val="000000"/>
          <w:sz w:val="28"/>
          <w:szCs w:val="28"/>
          <w:lang w:val="ru-RU"/>
        </w:rPr>
        <w:t xml:space="preserve"> возрастает в критические периоды развития, в частности, в подростковом возрасте. [14]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Самооценка формируется на базе оценок окружающих, оценки результатов собственной деятельности, а также на основе соотношения реального и идеального представлений о себе.</w:t>
      </w:r>
      <w:r>
        <w:rPr>
          <w:color w:val="000000"/>
          <w:sz w:val="28"/>
          <w:szCs w:val="28"/>
          <w:lang w:val="ru-RU"/>
        </w:rPr>
        <w:t xml:space="preserve"> Сохранение сформировавшейся, привычной самооценки становится для человека потребностью, с чем связан ряд важных самооценочных феноменов, таких как аффект неадекватности, дискомфорт успеха и др.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Трезвое и объективное отношение к себе составляет основу норм</w:t>
      </w:r>
      <w:r>
        <w:rPr>
          <w:color w:val="000000"/>
          <w:sz w:val="28"/>
          <w:szCs w:val="28"/>
          <w:lang w:val="ru-RU"/>
        </w:rPr>
        <w:t>альной самооценки. В нашем окружении всегда будут люди, в чем-либо превосходящие нас: более сильные, красивые, обаятельные, интеллигентные, удачливые или популярные. И точно так же всегда найдутся те, кто уступает нам в этом. [17]</w:t>
      </w:r>
    </w:p>
    <w:p w:rsidR="00000000" w:rsidRDefault="009536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 xml:space="preserve">2. Исследование влияния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самооценки на поведение в группе у старших дошкольников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Самооценка старших дошкольников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Закономерности формирования самооценки в детском возрасте были исследованы Белобрыкиной О.А., Божович Л.И., Захаровой А.В., Лисиной М.И., Мухиной В.С., и другими.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Самооценка человека начинает формироваться в самом раннем детстве. Для малыша важно одобрение и поощрение со стороны взрослых и своих сверстников. Если такового нет, у ребенка складывается заниженная самооценка. На самооценке ребенка могут пагубно отразит</w:t>
      </w:r>
      <w:r>
        <w:rPr>
          <w:color w:val="000000"/>
          <w:sz w:val="28"/>
          <w:szCs w:val="28"/>
          <w:lang w:val="ru-RU"/>
        </w:rPr>
        <w:t>ься как насмешки сверстников, так и чрезмерный критицизм со стороны взрослых.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очень четко улавливают внимание к ним со сторон взрослых. Если ребенок замечает, что его игнорируют, у него складывается впечатление, что он неинтересен окружающим. В свою о</w:t>
      </w:r>
      <w:r>
        <w:rPr>
          <w:color w:val="000000"/>
          <w:sz w:val="28"/>
          <w:szCs w:val="28"/>
          <w:lang w:val="ru-RU"/>
        </w:rPr>
        <w:t>чередь, это негативно отражается на его самооценке. Таким образом, чтобы сформировалось положительное мнение ребенка о себе, он должен постоянно чувствовать защищенность, значимость и важность. [1]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Вступая в старший дошкольный возраст, ребенок начинает осо</w:t>
      </w:r>
      <w:r>
        <w:rPr>
          <w:color w:val="000000"/>
          <w:sz w:val="28"/>
          <w:szCs w:val="28"/>
          <w:lang w:val="ru-RU"/>
        </w:rPr>
        <w:t xml:space="preserve">знавать факт своего существования. Развитие подлинной самооценки начинается с реалистических оценок детьми своих умений, результатов своей деятельности и конкретных знаний. Менее объективно в этот период дети оценивают качества своей личности. Дошкольники </w:t>
      </w:r>
      <w:r>
        <w:rPr>
          <w:color w:val="000000"/>
          <w:sz w:val="28"/>
          <w:szCs w:val="28"/>
          <w:lang w:val="ru-RU"/>
        </w:rPr>
        <w:t>склонны переоценивать себя, на что их направляют по преимуществу положительные оценки окружающих их взрослых.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концу дошкольного возраста соотношение эмоционального и когнитивного компонентов несколько гармонизируется. Создаются предпосылки для развития к</w:t>
      </w:r>
      <w:r>
        <w:rPr>
          <w:color w:val="000000"/>
          <w:sz w:val="28"/>
          <w:szCs w:val="28"/>
          <w:lang w:val="ru-RU"/>
        </w:rPr>
        <w:t>огнитивного компонента самооценки, для интеллектуализации отношения ребенка к себе, преодоления прямого воздействия на его самооценку со стороны взрослых. Старший дошкольный возраст является важным периодом для становления самооценки для дальнейшего ее раз</w:t>
      </w:r>
      <w:r>
        <w:rPr>
          <w:color w:val="000000"/>
          <w:sz w:val="28"/>
          <w:szCs w:val="28"/>
          <w:lang w:val="ru-RU"/>
        </w:rPr>
        <w:t>вития и влияния на личность. [7]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536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Конформизм у дошкольников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Конформизм - явление неоднозначное и во многом противоречивое. Социальный механизм конформного поведения, принимающий в зависимости от ситуации адаптивный характер или форму препятствия разви</w:t>
      </w:r>
      <w:r>
        <w:rPr>
          <w:color w:val="000000"/>
          <w:sz w:val="28"/>
          <w:szCs w:val="28"/>
          <w:lang w:val="ru-RU"/>
        </w:rPr>
        <w:t>тию личности, тесно связан с общими процессами социализации и развитием общения в дошкольном возрасте. Именно дошкольный возраст - возраст начала активного взаимодействия с другими детьми, включения ребенка в группу сверстников, - требует формирования спос</w:t>
      </w:r>
      <w:r>
        <w:rPr>
          <w:color w:val="000000"/>
          <w:sz w:val="28"/>
          <w:szCs w:val="28"/>
          <w:lang w:val="ru-RU"/>
        </w:rPr>
        <w:t>обности единообразно следовать некоторым установленным стандартам поведения и активной ориентации на мнение других с целью обеспечения возможности эффективных совместных, групповых действий. [13]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Конформизм дошкольника во многом является явлением прогресси</w:t>
      </w:r>
      <w:r>
        <w:rPr>
          <w:color w:val="000000"/>
          <w:sz w:val="28"/>
          <w:szCs w:val="28"/>
          <w:lang w:val="ru-RU"/>
        </w:rPr>
        <w:t>вным и закономерным с точки зрения возрастных задач развития. Конформное поведение ребенка строится на следующих важных компонентах поведения, которые интенсивно формируются в дошкольном детстве: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ориентация на другого;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учет мнения группы;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копирование</w:t>
      </w:r>
      <w:r>
        <w:rPr>
          <w:color w:val="000000"/>
          <w:sz w:val="28"/>
          <w:szCs w:val="28"/>
          <w:lang w:val="ru-RU"/>
        </w:rPr>
        <w:t xml:space="preserve"> и присвоение образцов поведения;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эмоциональное единение с группой;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осознание принадлежности (групповой, возрастной, половой, семейной и т.д.),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отказ от собственных устремлений в пользу группы. </w:t>
      </w:r>
      <w:r>
        <w:rPr>
          <w:color w:val="000000"/>
          <w:sz w:val="28"/>
          <w:szCs w:val="28"/>
          <w:lang w:val="en-US"/>
        </w:rPr>
        <w:t>[1]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Одновременно конформное поведение может способствова</w:t>
      </w:r>
      <w:r>
        <w:rPr>
          <w:color w:val="000000"/>
          <w:sz w:val="28"/>
          <w:szCs w:val="28"/>
          <w:lang w:val="ru-RU"/>
        </w:rPr>
        <w:t>ть развитию основ таких важных составляющих личности как коллективизм, идентичность, саморегуляция. Конформное поведение создает условия для овладения новой моделью удовлетворения потребности в принадлежности, в принятии другим - равным партнером по общени</w:t>
      </w:r>
      <w:r>
        <w:rPr>
          <w:color w:val="000000"/>
          <w:sz w:val="28"/>
          <w:szCs w:val="28"/>
          <w:lang w:val="ru-RU"/>
        </w:rPr>
        <w:t>ю (сверстником). [16]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Вместе с тем, уже в дошкольном возрасте преимущественная ориентация на других может быть связана с риском ограничения инициативы, самостоятельности, ответственного выбора. Наряду с восприимчивостью к социальным воздействиям и способно</w:t>
      </w:r>
      <w:r>
        <w:rPr>
          <w:color w:val="000000"/>
          <w:sz w:val="28"/>
          <w:szCs w:val="28"/>
          <w:lang w:val="ru-RU"/>
        </w:rPr>
        <w:t>стью учитывать в деятельности требования группы (нормы, правила, эмоциональный настрой и т.д.), ребенок должен овладеть способностью противостоять социальному влиянию и разграничивать собственные потребности и стремления от навязываемых или предлагаемых ок</w:t>
      </w:r>
      <w:r>
        <w:rPr>
          <w:color w:val="000000"/>
          <w:sz w:val="28"/>
          <w:szCs w:val="28"/>
          <w:lang w:val="ru-RU"/>
        </w:rPr>
        <w:t>ружением.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 конформизме можно говорить в случае наличия конфликта между стремлениями индивида и требованиями группы и преодолении этого конфликта индивидом в пользу группы. Для ребенка дошкольного возраста вполне естественным является стремление быть приня</w:t>
      </w:r>
      <w:r>
        <w:rPr>
          <w:color w:val="000000"/>
          <w:sz w:val="28"/>
          <w:szCs w:val="28"/>
          <w:lang w:val="ru-RU"/>
        </w:rPr>
        <w:t>тым группой, разделять ее позицию (быть "как все") и нравиться другим. Это одна из первых ступеней социализации ребенка, присвоения социальных норм и правил через стремление к принадлежности и принятию. [9]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социализации дошкольника задается окружаю</w:t>
      </w:r>
      <w:r>
        <w:rPr>
          <w:color w:val="000000"/>
          <w:sz w:val="28"/>
          <w:szCs w:val="28"/>
          <w:lang w:val="ru-RU"/>
        </w:rPr>
        <w:t>щими взрослыми, которые чаще всего ориентируют ребенка на поведение окружающих: "Посмотри, как все детки хорошо играют" или "никто так себя не ведет, перестань баловаться". Взрослые с раннего детства формируют у ребенка установку на поведение большинства и</w:t>
      </w:r>
      <w:r>
        <w:rPr>
          <w:color w:val="000000"/>
          <w:sz w:val="28"/>
          <w:szCs w:val="28"/>
          <w:lang w:val="ru-RU"/>
        </w:rPr>
        <w:t xml:space="preserve"> мнение окружающих. Ребенку внушается необходимость регулировать собственное поведение, ориентируясь на модели, которые он наблюдает вокруг, а самым простым способом выбора модели является критерий "все так делают" или "никто так не делает".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Конформизм реб</w:t>
      </w:r>
      <w:r>
        <w:rPr>
          <w:color w:val="000000"/>
          <w:sz w:val="28"/>
          <w:szCs w:val="28"/>
          <w:lang w:val="ru-RU"/>
        </w:rPr>
        <w:t xml:space="preserve">енка строится на уверенности в компетентности окружающих - сначала взрослых, а позже - группы сверстников. В определенном смысле конформизм граничит с уважением к авторитетам, послушанием и готовностью "принимать" от авторитетной фигуры (или группы) опыт, </w:t>
      </w:r>
      <w:r>
        <w:rPr>
          <w:color w:val="000000"/>
          <w:sz w:val="28"/>
          <w:szCs w:val="28"/>
          <w:lang w:val="ru-RU"/>
        </w:rPr>
        <w:t>знания, правила и модели поведения. [4]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Применительно к дошкольному возрасту значимость мнения близкого взрослого столь высока, что говорить о конформизме не имеет смысла. Действуют другие психологические механизмы, - в первую очередь привязанности и завис</w:t>
      </w:r>
      <w:r>
        <w:rPr>
          <w:color w:val="000000"/>
          <w:sz w:val="28"/>
          <w:szCs w:val="28"/>
          <w:lang w:val="ru-RU"/>
        </w:rPr>
        <w:t>имости. Что касается связи с деятельностью, то в дошкольном возрасте ребенок активно стремится использовать в реальной (практической или игровой) деятельности значимую информацию или наблюдаемый привлекательный образец поведения.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Вместе с тем, уже в детств</w:t>
      </w:r>
      <w:r>
        <w:rPr>
          <w:color w:val="000000"/>
          <w:sz w:val="28"/>
          <w:szCs w:val="28"/>
          <w:lang w:val="ru-RU"/>
        </w:rPr>
        <w:t>е возможно возникновение острого внутреннего конфликта между собственным мнением и мнением группы или авторитетного лица; который может разрешиться противопоставлением себя группе или сознательным приспособлением к поведению группы. [1]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 Келмен предлагае</w:t>
      </w:r>
      <w:r>
        <w:rPr>
          <w:color w:val="000000"/>
          <w:sz w:val="28"/>
          <w:szCs w:val="28"/>
          <w:lang w:val="ru-RU"/>
        </w:rPr>
        <w:t>т рассматривать конформное поведение в зависимости от механизма его осуществления: подчинение, идентификация, интернализация. Наиболее распространенным в дошкольном возрасте является механизм идентификации, когда ребенок стремится уподобиться агенту влияни</w:t>
      </w:r>
      <w:r>
        <w:rPr>
          <w:color w:val="000000"/>
          <w:sz w:val="28"/>
          <w:szCs w:val="28"/>
          <w:lang w:val="ru-RU"/>
        </w:rPr>
        <w:t>я, в силу привязанности, симпатии, желания подражать или оправдать ожидания значимого лица. В случае идентификации каждый участник взаимодействия ждет от другого определенного поведения и сам старается оправдать ожидания партнера (или группы). Если сложивш</w:t>
      </w:r>
      <w:r>
        <w:rPr>
          <w:color w:val="000000"/>
          <w:sz w:val="28"/>
          <w:szCs w:val="28"/>
          <w:lang w:val="ru-RU"/>
        </w:rPr>
        <w:t>иеся отношения удовлетворяют субъекта, он будет вести себя так вне зависимости от того, наблюдает за ним партнер или нет, поскольку для его собственного самоуважения существенно оправдать ожидания другого. [2]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случае подчинения, принятие влияния другого </w:t>
      </w:r>
      <w:r>
        <w:rPr>
          <w:color w:val="000000"/>
          <w:sz w:val="28"/>
          <w:szCs w:val="28"/>
          <w:lang w:val="ru-RU"/>
        </w:rPr>
        <w:t>лица или группы носит чисто внешний, прагматический характер, а сама продолжительность подобного поведения ограничивается ситуацией присутствия источника влияния. Ребенок соглашается с группой потому, что это выгодно ему, при этом выгода не обязательно осо</w:t>
      </w:r>
      <w:r>
        <w:rPr>
          <w:color w:val="000000"/>
          <w:sz w:val="28"/>
          <w:szCs w:val="28"/>
          <w:lang w:val="ru-RU"/>
        </w:rPr>
        <w:t>знается.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Проблема конформизма исследуется в психологии и с точки зрения индивидуальных особенностей объекта влияния, степени подверженности групповому давлению. Чаще всего выделяют такие особенности личности как низкая самооценка, сниженное самоуважение и </w:t>
      </w:r>
      <w:r>
        <w:rPr>
          <w:color w:val="000000"/>
          <w:sz w:val="28"/>
          <w:szCs w:val="28"/>
          <w:lang w:val="ru-RU"/>
        </w:rPr>
        <w:t>отсутствие твердых убеждений. [6]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536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II. Эмпирическое исследование связи конформизма и самооценки у старших дошкольников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536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План исследования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Самыми информативными в области социальной психологии стали эксперименты, в которых испытуемый оказывается</w:t>
      </w:r>
      <w:r>
        <w:rPr>
          <w:color w:val="000000"/>
          <w:sz w:val="28"/>
          <w:szCs w:val="28"/>
          <w:lang w:val="ru-RU"/>
        </w:rPr>
        <w:t xml:space="preserve"> в конфликтной ситуации. К их числу можно отнести эксперимент Аша, изучавшего конфликт между знанием истины и конформностью. [12]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Эмпирическая часть предлагаемого исследования состоит из двух этапов: на первом этапе изучена самооценка "наивных" испытуемых,</w:t>
      </w:r>
      <w:r>
        <w:rPr>
          <w:color w:val="000000"/>
          <w:sz w:val="28"/>
          <w:szCs w:val="28"/>
          <w:lang w:val="ru-RU"/>
        </w:rPr>
        <w:t xml:space="preserve"> для этого использовалась методика "Лесенка"; на втором - исследовался их конформизм методикой Аша.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Затем был проведен опрос эксперта. Воспитателя попросили сделать предположение о степени проявления конформности испытуемых, а также высказать предположение</w:t>
      </w:r>
      <w:r>
        <w:rPr>
          <w:color w:val="000000"/>
          <w:sz w:val="28"/>
          <w:szCs w:val="28"/>
          <w:lang w:val="ru-RU"/>
        </w:rPr>
        <w:t xml:space="preserve"> об их самооценке.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заключительном этапе проведено сопоставление и анализ полученных данных о самооценке испытуемых и их конформности, а также проанализирована точность представления воспитателя о самооценке детей. Также в работе показана зависимость сам</w:t>
      </w:r>
      <w:r>
        <w:rPr>
          <w:color w:val="000000"/>
          <w:sz w:val="28"/>
          <w:szCs w:val="28"/>
          <w:lang w:val="ru-RU"/>
        </w:rPr>
        <w:t>ооценки детей от мнения мамы.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536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Исследование самооценки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педагогической и социальной психологии широко используются тесты, направленные на исследование самооценки. Существует множество их модификации - для детей 4-6 лет это тест "Лесенка".</w:t>
      </w:r>
    </w:p>
    <w:p w:rsidR="00000000" w:rsidRDefault="009536E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Стимульный </w:t>
      </w:r>
      <w:r>
        <w:rPr>
          <w:color w:val="000000"/>
          <w:sz w:val="28"/>
          <w:szCs w:val="28"/>
          <w:lang w:val="ru-RU"/>
        </w:rPr>
        <w:t>материал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теста "Лесенка" (см. Приложение 4): рисунок лестницы, состоящей из семи ступенек. Посредине нужно расположить фигурку ребёнка. Для удобства может быть вырезана из бумаги фигурка мальчика или девочки, которую можно ставить на лесенку в зависимости </w:t>
      </w:r>
      <w:r>
        <w:rPr>
          <w:color w:val="000000"/>
          <w:sz w:val="28"/>
          <w:szCs w:val="28"/>
          <w:lang w:val="ru-RU"/>
        </w:rPr>
        <w:t>от пола тестируемого ребенка.</w:t>
      </w:r>
    </w:p>
    <w:p w:rsidR="00000000" w:rsidRDefault="009536E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теста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Ребенку дают листок с нарисованной на нем лестницей и объясняют значение ступенек. Экспериментатор произносит инструкцию: "Посмотри на эту лесенку. Видишь, тут стоит мальчик (или девочка). На ступеньку выше (</w:t>
      </w:r>
      <w:r>
        <w:rPr>
          <w:color w:val="000000"/>
          <w:sz w:val="28"/>
          <w:szCs w:val="28"/>
          <w:lang w:val="ru-RU"/>
        </w:rPr>
        <w:t>показывают) ставят хороших Детей, чем выше - тем лучше дети, а на самой верхней ступеньке - самые хорошие ребята. На ступеньку ниже ставят не очень хороших детей (показывают), еще ниже - еще хуже, а на самой нижней ступеньке - самые плохие ребята. На какую</w:t>
      </w:r>
      <w:r>
        <w:rPr>
          <w:color w:val="000000"/>
          <w:sz w:val="28"/>
          <w:szCs w:val="28"/>
          <w:lang w:val="ru-RU"/>
        </w:rPr>
        <w:t xml:space="preserve"> ступеньку ты сам себя поставишь? А на какую ступеньку тебя поставят мама? воспитательница?"</w:t>
      </w:r>
    </w:p>
    <w:p w:rsidR="00000000" w:rsidRDefault="009536E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 проследить, правильно ли понял ребенок объяснение. В случае необходимости следует повторить его. После этого задают вопросы, ответы записывают.</w:t>
      </w:r>
    </w:p>
    <w:p w:rsidR="00000000" w:rsidRDefault="009536E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Прежде всего,</w:t>
      </w:r>
      <w:r>
        <w:rPr>
          <w:color w:val="000000"/>
          <w:sz w:val="28"/>
          <w:szCs w:val="28"/>
          <w:lang w:val="ru-RU"/>
        </w:rPr>
        <w:t xml:space="preserve"> обращают внимание, на какую ступеньку ребенок сам себя поставил. Считается нормой, если дети этого возраста ставят себя на ступеньку "очень хорошие" и даже "самые хорошие" дети. В любом случае это должны быть верхние ступеньки, так как положение на любой </w:t>
      </w:r>
      <w:r>
        <w:rPr>
          <w:color w:val="000000"/>
          <w:sz w:val="28"/>
          <w:szCs w:val="28"/>
          <w:lang w:val="ru-RU"/>
        </w:rPr>
        <w:t xml:space="preserve">из нижних ступенек (а уже тем более на самой нижней) говорит не об адекватной оценке, но об отрицательном отношении к себе, неуверенности в собственных силах. Это очень серьезное нарушение структуры личности, которое может привести к депрессиям, неврозам, </w:t>
      </w:r>
      <w:r>
        <w:rPr>
          <w:color w:val="000000"/>
          <w:sz w:val="28"/>
          <w:szCs w:val="28"/>
          <w:lang w:val="ru-RU"/>
        </w:rPr>
        <w:t>асоциальности у детей. Как правило, это связано с холодным отношением к детям, отвержением или суровым, авторитарным воспитанием, при котором обесценивается сам ребенок, который приходит к выводу, что его любят только тогда, когда он хорошо себя ведет. А т</w:t>
      </w:r>
      <w:r>
        <w:rPr>
          <w:color w:val="000000"/>
          <w:sz w:val="28"/>
          <w:szCs w:val="28"/>
          <w:lang w:val="ru-RU"/>
        </w:rPr>
        <w:t>ак как дети не могут быть хорошими постоянно и уж тем более не могут соответствовать всем притязаниям взрослых, выполнять все их требования, то, естественно, дети в этих условиях начинают сомневаться в себе, в своих силах и в любви к ним родителей. Также н</w:t>
      </w:r>
      <w:r>
        <w:rPr>
          <w:color w:val="000000"/>
          <w:sz w:val="28"/>
          <w:szCs w:val="28"/>
          <w:lang w:val="ru-RU"/>
        </w:rPr>
        <w:t>е уверены в себе и в родительской любви дети, которыми вообще не занимаются дома. Таким образом, крайнее пренебрежение ребенком, как и крайний авторитаризм, постоянная опека и контроль, приводят к сходным результатам.</w:t>
      </w:r>
    </w:p>
    <w:p w:rsidR="00000000" w:rsidRDefault="009536E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Конкретно об отношении родителей к реб</w:t>
      </w:r>
      <w:r>
        <w:rPr>
          <w:color w:val="000000"/>
          <w:sz w:val="28"/>
          <w:szCs w:val="28"/>
          <w:lang w:val="ru-RU"/>
        </w:rPr>
        <w:t>енку и их требованиях говорят ответы на вопрос о том, куда их поставят взрослые - папа, мама, воспитательница. Для нормального, комфортного самоощущения, которое связано с появлением чувства защищенности, важно, чтобы кто-то из взрослых поставил ребенка на</w:t>
      </w:r>
      <w:r>
        <w:rPr>
          <w:color w:val="000000"/>
          <w:sz w:val="28"/>
          <w:szCs w:val="28"/>
          <w:lang w:val="ru-RU"/>
        </w:rPr>
        <w:t xml:space="preserve"> самую высокую ступеньку. В идеале, сам ребенок может поставить себя на вторую ступеньку сверху, а мама (или кто-то другой из родных) ставит его на самую высокую ступеньку. При этом дети говорят: "Ну, я не самый хороший, балуюсь иногда. Но мама меня постав</w:t>
      </w:r>
      <w:r>
        <w:rPr>
          <w:color w:val="000000"/>
          <w:sz w:val="28"/>
          <w:szCs w:val="28"/>
          <w:lang w:val="ru-RU"/>
        </w:rPr>
        <w:t>ит сюда, она ведь меня любит". Ответы такого типа как раз свидетельствуют о том, что ребенок уверен в любви взрослого, чувствует себя защищенным, что необходимо для нормального развития в этом возрасте.</w:t>
      </w:r>
    </w:p>
    <w:p w:rsidR="00000000" w:rsidRDefault="009536E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Признаком неблагополучия как в структуре личности реб</w:t>
      </w:r>
      <w:r>
        <w:rPr>
          <w:color w:val="000000"/>
          <w:sz w:val="28"/>
          <w:szCs w:val="28"/>
          <w:lang w:val="ru-RU"/>
        </w:rPr>
        <w:t>енка, так и в его отношениях с близкими взрослыми являются ответы, в которых мама ставит его на нижние ступеньки. Однако, при ответе на вопрос "Куда тебя поставит воспитательница?", помещение на одну из нижних ступенек нормально и может служить доказательс</w:t>
      </w:r>
      <w:r>
        <w:rPr>
          <w:color w:val="000000"/>
          <w:sz w:val="28"/>
          <w:szCs w:val="28"/>
          <w:lang w:val="ru-RU"/>
        </w:rPr>
        <w:t>твом адекватной, правильной самооценки, особенно в том случае, если ребенок действительно плохо себя ведет и часто получает замечания от воспитателя. [10]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536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Исследование конформности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втором этапе исследования был проведен естественный эксперимент по</w:t>
      </w:r>
      <w:r>
        <w:rPr>
          <w:color w:val="000000"/>
          <w:sz w:val="28"/>
          <w:szCs w:val="28"/>
          <w:lang w:val="ru-RU"/>
        </w:rPr>
        <w:t xml:space="preserve"> методике Аша в виде групповой игры под названием "Школьный урок".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эксперименте, целью которого было изучение конформного поведения старших дошкольников по отношению к сверстникам, участвовали 25 детей: пятеро "подсадных уток" и 20 "наивных" испытуемых".</w:t>
      </w:r>
      <w:r>
        <w:rPr>
          <w:color w:val="000000"/>
          <w:sz w:val="28"/>
          <w:szCs w:val="28"/>
          <w:lang w:val="ru-RU"/>
        </w:rPr>
        <w:t xml:space="preserve"> "Подсадные утки" предварительно были проинструктированы экспериментатором, поэтому всегда давали заведомо неправильные ответы на вопрос о форме круга, на все другие вопросы при этом отвечая правильно. Все испытуемые работали с одним и тем же стимульным ма</w:t>
      </w:r>
      <w:r>
        <w:rPr>
          <w:color w:val="000000"/>
          <w:sz w:val="28"/>
          <w:szCs w:val="28"/>
          <w:lang w:val="ru-RU"/>
        </w:rPr>
        <w:t>териалом (см. Приложение 5). "Наивный" испытуемый отвечал на вопрос экспериментатора последним. По данной схеме опрашивались все 20 "наивных" испытуемых.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"Наивные" испытуемые, вслед за "подсадными утками", должны были определить форму геометрической фигуры</w:t>
      </w:r>
      <w:r>
        <w:rPr>
          <w:color w:val="000000"/>
          <w:sz w:val="28"/>
          <w:szCs w:val="28"/>
          <w:lang w:val="ru-RU"/>
        </w:rPr>
        <w:t>. Всем участникам ("подсадным уткам" и одному испытуемому) задавался вопрос: "Какой формы фигура?" Первыми на вопрос отвечали "подсадные утки", затем "наивный" испытуемый. "Подсадные утки" правильно определяли форму фигуры - квадрат. Далее демонстрировался</w:t>
      </w:r>
      <w:r>
        <w:rPr>
          <w:color w:val="000000"/>
          <w:sz w:val="28"/>
          <w:szCs w:val="28"/>
          <w:lang w:val="ru-RU"/>
        </w:rPr>
        <w:t xml:space="preserve"> треугольник и задавался аналогичный вопрос. Ответы "подсадных уток" вновь были правильными. Наконец, экспериментатор показывал круг. Определяя форму предъявленной фигуры "подсадные утки" отвечали неверно: овал. Далее отвечал "наивный испытуемый".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Эксперим</w:t>
      </w:r>
      <w:r>
        <w:rPr>
          <w:color w:val="000000"/>
          <w:sz w:val="28"/>
          <w:szCs w:val="28"/>
          <w:lang w:val="ru-RU"/>
        </w:rPr>
        <w:t>ентатор фиксировал в таблице, данные которой приведены в Приложении 2, ответы "наивных" испытуемых на заведомо провокационный вопрос.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Перед проведением эксперимента воспитателю было предложено высказать предположение об ответах каждого из детей, исходя из </w:t>
      </w:r>
      <w:r>
        <w:rPr>
          <w:color w:val="000000"/>
          <w:sz w:val="28"/>
          <w:szCs w:val="28"/>
          <w:lang w:val="ru-RU"/>
        </w:rPr>
        <w:t>его представлений об их конформности (Приложение 2).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Сопоставление данных реального эксперимента и мнения воспитателя позволило сделать вывод о том, что представления воспитателей о степени конформности старших дошкольников отличаются от реальных показател</w:t>
      </w:r>
      <w:r>
        <w:rPr>
          <w:color w:val="000000"/>
          <w:sz w:val="28"/>
          <w:szCs w:val="28"/>
          <w:lang w:val="ru-RU"/>
        </w:rPr>
        <w:t>ей. Дети более конформны, чем о них думают взрослые.</w:t>
      </w:r>
    </w:p>
    <w:p w:rsidR="00000000" w:rsidRDefault="009536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исследовании получены данные о зависимости конформного поведения старших дошкольников от уровня самооценки, - наиболее подвержены влиянию взрослого дошкольники с высокой самооценкой, наиме</w:t>
      </w:r>
      <w:r>
        <w:rPr>
          <w:color w:val="000000"/>
          <w:sz w:val="28"/>
          <w:szCs w:val="28"/>
          <w:lang w:val="ru-RU"/>
        </w:rPr>
        <w:t>нее - со средней самооценкой и низкой самооценкой. Полученные данные свидетельствуют также о том, что проявление согласия с мнением группы сверстников демонстрируют в большинстве своем дошкольники с высокой самооценкой. У всех без исключения детей, продемо</w:t>
      </w:r>
      <w:r>
        <w:rPr>
          <w:color w:val="000000"/>
          <w:sz w:val="28"/>
          <w:szCs w:val="28"/>
          <w:lang w:val="ru-RU"/>
        </w:rPr>
        <w:t>нстрировавших конформную реакцию в ответ на мнение группы сверстников, был диагностирован высокий уровень самооценки.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Общая тенденция к конформному поведению в ситуациях взаимодействия со сверстниками позволяет говорить о таком варианте социализации дошкол</w:t>
      </w:r>
      <w:r>
        <w:rPr>
          <w:color w:val="000000"/>
          <w:sz w:val="28"/>
          <w:szCs w:val="28"/>
          <w:lang w:val="ru-RU"/>
        </w:rPr>
        <w:t>ьников, когда уверенные в себе дети (принимающие себя и высоко оценивающие), тем не менее, идут на поводу социального влияния, вступая при этом в конфликт с видимой реальностью, но сохраняя приверженность групповому мнению. При этом представления воспитате</w:t>
      </w:r>
      <w:r>
        <w:rPr>
          <w:color w:val="000000"/>
          <w:sz w:val="28"/>
          <w:szCs w:val="28"/>
          <w:lang w:val="ru-RU"/>
        </w:rPr>
        <w:t>лей о степени конформности дошкольников отличаются от реальных показателей. Дети более конформны, чем о них думают взрослые.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Вместе с тем, это может быть этап их социального развития, определяемый недостаточной личностной зрелостью и независимостью. Дошкол</w:t>
      </w:r>
      <w:r>
        <w:rPr>
          <w:color w:val="000000"/>
          <w:sz w:val="28"/>
          <w:szCs w:val="28"/>
          <w:lang w:val="ru-RU"/>
        </w:rPr>
        <w:t>ьников с низким уровнем внушаемости и склонностью к нонконформным реакциям отличает большая зрелость и внутренняя критичность, которая развивается из критичности внешней как способность сохранять разумность суждений в ситуации значимого социального влияния</w:t>
      </w:r>
      <w:r>
        <w:rPr>
          <w:color w:val="000000"/>
          <w:sz w:val="28"/>
          <w:szCs w:val="28"/>
          <w:lang w:val="ru-RU"/>
        </w:rPr>
        <w:t>. [1]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Конформное поведение дошкольников связано с высокой самооценкой, тогда как в описанных в литературе исследованиях конформизма у взрослых, традиционно выделяется фактор низкой самооценки. Этот факт позволяет предполагать сложную возрастную динамику ко</w:t>
      </w:r>
      <w:r>
        <w:rPr>
          <w:color w:val="000000"/>
          <w:sz w:val="28"/>
          <w:szCs w:val="28"/>
          <w:lang w:val="ru-RU"/>
        </w:rPr>
        <w:t>нформного поведения. Подлинное понимание и объяснение конформного поведения возможно лишь вследствие учета опосредованного влияния множества ситуационных, групповых, индивидуально-личностных факторов и соотнесения вызываемых ими эффектов в естественных сит</w:t>
      </w:r>
      <w:r>
        <w:rPr>
          <w:color w:val="000000"/>
          <w:sz w:val="28"/>
          <w:szCs w:val="28"/>
          <w:lang w:val="ru-RU"/>
        </w:rPr>
        <w:t>уациях жизнедеятельности группы. [1]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536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Авдулова Т.П., Кузнецова О.В. Особенности самооценки и склонность к конформизму у дошкольников. Журнал Психологические исследования 2008 No.1</w:t>
      </w: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Андреева Г.М., Богомолова Н.Н., Петровская Л.А. Зар</w:t>
      </w:r>
      <w:r>
        <w:rPr>
          <w:color w:val="000000"/>
          <w:sz w:val="28"/>
          <w:szCs w:val="28"/>
          <w:lang w:val="ru-RU"/>
        </w:rPr>
        <w:t>убежная социальная психология XX столетия. - М.: Аспект Пресс, 2002. - 286 с.</w:t>
      </w: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Андреева Г.М. Социальная психология. - М.: 1999. - 375 с.</w:t>
      </w: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Белинская Е.П., Тихомандрицкая О.А. Социальная психология личности. - М.: Аспект Пресс, 2001. - 301 с.</w:t>
      </w: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Буева Л.П. </w:t>
      </w:r>
      <w:r>
        <w:rPr>
          <w:color w:val="000000"/>
          <w:sz w:val="28"/>
          <w:szCs w:val="28"/>
          <w:lang w:val="ru-RU"/>
        </w:rPr>
        <w:t>Социальная среда и сознание личности. - М.: 1968. - 267 с.</w:t>
      </w: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Гоффман И. Представление себя другим // Современная зарубежная социальная психология. Тексты. - М., 1984. - 225 с.</w:t>
      </w: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Жуков Ю.М. Ценности как детерминанты принятия решения. Социально-психологическ</w:t>
      </w:r>
      <w:r>
        <w:rPr>
          <w:color w:val="000000"/>
          <w:sz w:val="28"/>
          <w:szCs w:val="28"/>
          <w:lang w:val="ru-RU"/>
        </w:rPr>
        <w:t>ий подход к проблеме // Психологические проблемы социальной регуляции поведения. - М., 1976. - 410 с.</w:t>
      </w: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Зимбардо Ф., Ляйппе М. Социальное влияние. - СПб.: Питер, 2001.448 с.</w:t>
      </w: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Келли Г. Две функции референтной группы // Современная зарубежная социальная пси</w:t>
      </w:r>
      <w:r>
        <w:rPr>
          <w:color w:val="000000"/>
          <w:sz w:val="28"/>
          <w:szCs w:val="28"/>
          <w:lang w:val="ru-RU"/>
        </w:rPr>
        <w:t>хология. Тексты. - М., 1984.197-203 с.</w:t>
      </w: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Марцинковская Т. Д." Диагностика психического развития детей", Москва, 1997г. - 176 с.</w:t>
      </w: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Майерс Д. Социальная психология. - М., 1997. - 688 с.</w:t>
      </w: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Милграм С. Эксперимент в социальной психологии - СПб.: Питер, 2000. - </w:t>
      </w:r>
      <w:r>
        <w:rPr>
          <w:color w:val="000000"/>
          <w:sz w:val="28"/>
          <w:szCs w:val="28"/>
          <w:lang w:val="ru-RU"/>
        </w:rPr>
        <w:t>336 с.</w:t>
      </w: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Ньюком Т. Исследование согласия // Социология сегодня. М., 1965. - 315 с.</w:t>
      </w: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Росс Л., Нисбет Р. Человек и ситуация. - М., 1999. - 429 с.</w:t>
      </w: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Рубинштейн С.Л. Основы общей психологии. Под ред. А.В. Брушлинского, К.А. Абульхановой-Славской. - СПб.: Пите</w:t>
      </w:r>
      <w:r>
        <w:rPr>
          <w:color w:val="000000"/>
          <w:sz w:val="28"/>
          <w:szCs w:val="28"/>
          <w:lang w:val="ru-RU"/>
        </w:rPr>
        <w:t>р, 2000. - 720с.</w:t>
      </w: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Чалдини Р. Психология влияния. 4-е изд. - СПб.: Питер, 2002. - 288 с.</w:t>
      </w:r>
    </w:p>
    <w:p w:rsidR="00000000" w:rsidRDefault="009536E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Шибутани Т. Социальная психология. - М., 1999. - 544 с.</w:t>
      </w:r>
    </w:p>
    <w:p w:rsidR="00000000" w:rsidRDefault="009536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1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 исследования самооценки методикой "Лесенка"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0"/>
        <w:gridCol w:w="1556"/>
        <w:gridCol w:w="1556"/>
        <w:gridCol w:w="1807"/>
        <w:gridCol w:w="202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Имя ребенка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ступеньки по мнени</w:t>
            </w:r>
            <w:r>
              <w:rPr>
                <w:color w:val="000000"/>
                <w:sz w:val="20"/>
                <w:szCs w:val="20"/>
                <w:lang w:val="ru-RU"/>
              </w:rPr>
              <w:t>ю ребенка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ступеньки куда его мама поставила бы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ступеньки куда его воспитатель поставила бы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Мнение воспитателя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Артемий В.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Данил В.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Гриша Е.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Максим Д.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Богдан И.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Евгения К.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Егор К.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Даш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 Л.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Артем П.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Даша П.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Матвей С.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Рома С.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Ваня Т.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Миша Ф.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Лера Х.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Ваня Ш.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Ш.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Рома Р.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Полина Б.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Костя Б.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</w:tbl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2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</w:t>
      </w:r>
      <w:r>
        <w:rPr>
          <w:color w:val="000000"/>
          <w:sz w:val="28"/>
          <w:szCs w:val="28"/>
          <w:lang w:val="ru-RU"/>
        </w:rPr>
        <w:t>анк исследования конформности методом Аша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2934"/>
        <w:gridCol w:w="245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ФИО ребенка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Согласился с мнением группы Да (1) /Нет (0) 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Прогноз воспитателя (согласится с группой) Да (1) /Нет (0)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Артемий В.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Данил В.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Гриша Е.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Максим Д.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Богдан И.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Евгения К.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Егор К.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Даша Л.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Артем П.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Даша П.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Матвей С.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Рома С.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Ваня Т.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Миша Ф.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Лера Х.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Ваня Ш.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Настя Ш.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Рома Р.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Полина Б.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Костя Б.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</w:tbl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3</w:t>
      </w:r>
    </w:p>
    <w:p w:rsidR="00000000" w:rsidRDefault="009536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Сводные таблицы результатов исследован</w:t>
      </w:r>
      <w:r>
        <w:rPr>
          <w:color w:val="000000"/>
          <w:sz w:val="28"/>
          <w:szCs w:val="28"/>
          <w:lang w:val="ru-RU"/>
        </w:rPr>
        <w:t>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1516"/>
        <w:gridCol w:w="1361"/>
        <w:gridCol w:w="1283"/>
        <w:gridCol w:w="1368"/>
        <w:gridCol w:w="1169"/>
        <w:gridCol w:w="1361"/>
        <w:gridCol w:w="1283"/>
        <w:gridCol w:w="1368"/>
        <w:gridCol w:w="116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Самооценка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Конформны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Неконформны</w:t>
            </w:r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Конформны по мнению воспитателя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Неконформны по мнению воспитателя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Высокая ст.7-6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ст.5-3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Низкая ст.2-1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Мнение воспитателя о самооценке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Конформны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Неконформны</w:t>
            </w:r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Конформны по мнению воспитателя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Неконформны по мнению воспитателя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Высокая ст.7-6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ст.5-3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Низкая ст.2-1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Зеркальная оценка воспитателя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Конформны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Неконформны</w:t>
            </w:r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Конформны по мнению воспитателя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Неконформны по мнению воспитателя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Высокая ст.7-6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</w:t>
            </w:r>
            <w:r>
              <w:rPr>
                <w:color w:val="000000"/>
                <w:sz w:val="20"/>
                <w:szCs w:val="20"/>
                <w:lang w:val="ru-RU"/>
              </w:rPr>
              <w:t>дняя ст.5-3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Низкая ст.2-1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Зеркальная оценка мамы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Конформны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Неконформны</w:t>
            </w:r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Конформны по мнению воспитателя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Неконформны по мнению воспитателя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Высокая ст.7-6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ст.5-3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Низкая ст.2-1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4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Рисунок лестницы, на которой испытуемому предлагалось поставить себя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6"/>
        <w:gridCol w:w="976"/>
        <w:gridCol w:w="976"/>
        <w:gridCol w:w="976"/>
        <w:gridCol w:w="976"/>
        <w:gridCol w:w="976"/>
        <w:gridCol w:w="100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9536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9536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9536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9536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9536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9536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9536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9536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9536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9536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9536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9536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9536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5</w:t>
      </w:r>
    </w:p>
    <w:p w:rsidR="00000000" w:rsidRDefault="009536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536E6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Рисунки, предъявляемые испытуемым, при эк</w:t>
      </w:r>
      <w:r>
        <w:rPr>
          <w:color w:val="000000"/>
          <w:sz w:val="28"/>
          <w:szCs w:val="28"/>
          <w:lang w:val="ru-RU"/>
        </w:rPr>
        <w:t>сперименте по методу Аша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76"/>
        <w:gridCol w:w="976"/>
        <w:gridCol w:w="976"/>
        <w:gridCol w:w="976"/>
        <w:gridCol w:w="976"/>
        <w:gridCol w:w="976"/>
        <w:gridCol w:w="97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36E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536E6" w:rsidRDefault="009536E6"/>
    <w:sectPr w:rsidR="009536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9A"/>
    <w:rsid w:val="002A029A"/>
    <w:rsid w:val="0095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5835</Words>
  <Characters>33266</Characters>
  <Application>Microsoft Office Word</Application>
  <DocSecurity>0</DocSecurity>
  <Lines>277</Lines>
  <Paragraphs>78</Paragraphs>
  <ScaleCrop>false</ScaleCrop>
  <Company/>
  <LinksUpToDate>false</LinksUpToDate>
  <CharactersWithSpaces>39023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2024-08-26T12:30:00Z</dcterms:created>
  <dcterms:modified xsi:type="dcterms:W3CDTF">2024-08-26T12:30:00Z</dcterms:modified>
</cp:coreProperties>
</file>