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9D3E4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Наша история, записанная в ДНК</w:t>
      </w:r>
    </w:p>
    <w:p w:rsidR="00000000" w:rsidRDefault="009D3E44"/>
    <w:p w:rsidR="00000000" w:rsidRDefault="009D3E44">
      <w:r>
        <w:t>Платон очень гордился своим определением человека: двуногое без перьев. Оно имело большой успех, пока киник Диоген, ощипав петух</w:t>
      </w:r>
      <w:r>
        <w:t xml:space="preserve">а, не изготовил наглядное пособие. Со времен Платона и Диогена появилось немало новых определений, в том числе основанных на описании свойств молекулы ДНК. </w:t>
      </w:r>
    </w:p>
    <w:p w:rsidR="00000000" w:rsidRDefault="009D3E44">
      <w:r>
        <w:t>Для дальнейшего изложения важно представить себе молекулу ДНК в виде текста, определяющего многие н</w:t>
      </w:r>
      <w:r>
        <w:t>аши особенности как биологического вида. Текст этот записан последовательностью из молекулярных букв — нуклеотидов. В генетическом алфавите их всего четыре: А (аденин), Т (тимин), Г (гуанин) и Ц (цитозин). Общая длина нуклеотидной последовательности, получ</w:t>
      </w:r>
      <w:r>
        <w:t xml:space="preserve">аемой от каждого из родителей, — 3 млрд букв. </w:t>
      </w:r>
    </w:p>
    <w:p w:rsidR="00000000" w:rsidRDefault="009D3E44">
      <w:r>
        <w:t>Генетический текст человека немногим отличается от текстов близкородственных видов. Так, в сходных генах человека и шимпанзе обычно из 100 букв текста 99 одинаковы. А у двух человек (если они не однояйцевые бл</w:t>
      </w:r>
      <w:r>
        <w:t xml:space="preserve">изнецы) в среднем из тысячи только один нуклеотид другой. Именно с такими заменами связаны наследуемые индивидуальные особенности каждого человека. </w:t>
      </w:r>
    </w:p>
    <w:p w:rsidR="00000000" w:rsidRDefault="009D3E44">
      <w:r>
        <w:t>В последние несколько лет изучение разнообразия генетических текстов (геномов) людей стало одной из самых п</w:t>
      </w:r>
      <w:r>
        <w:t>опулярных областей науки. Здесь есть чисто практический интерес: ведь с генетическими особенностями связано здоровье человека. Сегодня в геномные исследования фармацевтические компании вкладывают огромные средства и надеются получить отдачу в ближайшие дес</w:t>
      </w:r>
      <w:r>
        <w:t xml:space="preserve">ятилетия в виде принципиально новых методов диагностики и лечения. </w:t>
      </w:r>
    </w:p>
    <w:p w:rsidR="00000000" w:rsidRDefault="009D3E44">
      <w:r>
        <w:t xml:space="preserve">Есть и другой аспект таких разработок: они позволяют реконструировать события давнего прошлого, восстановить историю возникновения вида </w:t>
      </w:r>
      <w:r>
        <w:rPr>
          <w:i/>
          <w:iCs/>
        </w:rPr>
        <w:t>Homo sapiens</w:t>
      </w:r>
      <w:r>
        <w:t xml:space="preserve"> и пути миграций разных народов. Эти исс</w:t>
      </w:r>
      <w:r>
        <w:t xml:space="preserve">ледования привели к появлению новых направлений науки — молекулярной антропологии и палеогеномики. </w:t>
      </w:r>
    </w:p>
    <w:p w:rsidR="00000000" w:rsidRDefault="009D3E44">
      <w:r>
        <w:rPr>
          <w:b/>
          <w:bCs/>
        </w:rPr>
        <w:t>Молекулярные часы и филогенетическое древо</w:t>
      </w:r>
      <w:r>
        <w:t xml:space="preserve"> </w:t>
      </w:r>
    </w:p>
    <w:p w:rsidR="00000000" w:rsidRDefault="009D3E44">
      <w:r>
        <w:t>Еще в 60-е годы Л.Полинг и Э.Цукеркандл высказали идею, что скорость накопления мутаций достаточно постоянна: ее</w:t>
      </w:r>
      <w:r>
        <w:t xml:space="preserve"> можно использовать как своего рода молекулярные часы эволюционной истории. Позже, когда появились методы чтения нуклеотидных последовательностей (секвенирования), скорость накопления мутаций была установлена при сравнении ДНК тех видов, время расхождения </w:t>
      </w:r>
      <w:r>
        <w:t xml:space="preserve">которых определялось по палеонтологическим находкам. </w:t>
      </w:r>
    </w:p>
    <w:p w:rsidR="00000000" w:rsidRDefault="009D3E44">
      <w:r>
        <w:t>Метод молекулярных часов приложим и к изучению событий эволюционной истории человека. Здесь удобным инструментом исследования служит митохондриальная ДНК (мтДНК) и Y-хромосома. Остальные хромосомы при п</w:t>
      </w:r>
      <w:r>
        <w:t xml:space="preserve">ередаче потомству обмениваются сходными кусками генетического текста — рекомбинируют. В результате в каждой хромосоме возникают новые, отличные от родительских, комбинации, что существенно затрудняет анализ накопления мутаций. </w:t>
      </w:r>
    </w:p>
    <w:p w:rsidR="00000000" w:rsidRDefault="009D3E44">
      <w:r>
        <w:t>Y-хромосома передается тольк</w:t>
      </w:r>
      <w:r>
        <w:t xml:space="preserve">о по мужской линии — от отца к сыну. Она присутствует в геноме мужчин в единственной копии и потому ни с чем не рекомбинирует (за исключением небольших участков на концах хромосомы, не влияющих на анализ нерекомбинирующей части). Раз появившись, мутации в </w:t>
      </w:r>
      <w:r>
        <w:t>Y-хромосоме сохраняются на протяжении тысяч поколений, маркируя тем самым всех потомков индивида, у которого они первоначально возникли. Современные мужчины, имеющие одинаковые мутации в Y-хромосоме, восходят к общему предку по мужской линии. Очевидно, что</w:t>
      </w:r>
      <w:r>
        <w:t xml:space="preserve"> родные братья, получившие от отца Y-хромосомы с одинаковыми текстами, относятся к одной линии. Однако если у одного из братьев произойдет мутация, которую он передаст своим сыновьям, линии наследования разойдутся на две ветви. </w:t>
      </w:r>
    </w:p>
    <w:p w:rsidR="00000000" w:rsidRDefault="009D3E44">
      <w:r>
        <w:t>Сейчас созданы базы данных,</w:t>
      </w:r>
      <w:r>
        <w:t xml:space="preserve"> содержащие информацию о Y-хромосомах десятков тысяч людей со всех уголков Земли. Современные методы генетического и статистического анализа таких больших выборок позволяют установить порядок возникновения мутаций и </w:t>
      </w:r>
      <w:r>
        <w:lastRenderedPageBreak/>
        <w:t>нарисовать филогенетическое древо, описы</w:t>
      </w:r>
      <w:r>
        <w:t>вающее родственные связи всех людей по мужской линии. Чем раньше возникла мутация, тем ближе к корню древа она располагается и тем больше ветвей будут ее содержать. Так как материал, доступный для исследователя, — это ДНК, полученная от наших современников</w:t>
      </w:r>
      <w:r>
        <w:t xml:space="preserve">, филогенетическое древо строится от концов ветвей к корню. </w:t>
      </w:r>
    </w:p>
    <w:p w:rsidR="00000000" w:rsidRDefault="009D3E44">
      <w:r>
        <w:t>При известной скорости накопления мутаций в расчете на поколение, число мутаций, различающих двух людей, можно перевести в абсолютное время, прошедшее с момента появления их генетических линий, т</w:t>
      </w:r>
      <w:r>
        <w:t xml:space="preserve">.е. установить, когда жил последний общий предок этих двух людей. При изучении отцовской линии анализируют около полутора-двух десятков изменчивых участков ДНК (SNP- и STR-маркеры) в Y-хромосоме, размер которой составляет 60 тыс. пар оснований. </w:t>
      </w:r>
    </w:p>
    <w:p w:rsidR="00000000" w:rsidRDefault="009D3E44">
      <w:r>
        <w:t>Эволюционн</w:t>
      </w:r>
      <w:r>
        <w:t>ую историю женской линии можно проследить по митохондриальной ДНК (мтДНК). Плод любого пола получает ее только от матери, поскольку в спермии нет митохондрий. В сравнении с ДНК хромосом это очень маленькая молекула — у человека всего 16 500 пар нуклеотидов</w:t>
      </w:r>
      <w:r>
        <w:t>. В отличие от ядерных генов, большинство которых представлено одной (в Y-хромосоме) или двумя копиями (в остальных хромосомах), в каждой клетке содержится до нескольких десятков тысяч копий молекул мтДНК. Кроме того, эта молекула — кольцевая, а, как извес</w:t>
      </w:r>
      <w:r>
        <w:t xml:space="preserve">тно, такие молекулы стабильнее, чем линейные. Именно эти особенности позволили исследователям прочесть мтДНК из останков древних людей, в том числе и неандертальцев. Можно считать, что митохондриальная ДНК — подарок природы молекулярным биологам. </w:t>
      </w:r>
    </w:p>
    <w:p w:rsidR="00000000" w:rsidRDefault="009D3E44">
      <w:r>
        <w:t>Для пост</w:t>
      </w:r>
      <w:r>
        <w:t>роения филогенетического древа по материнской линии достаточно определить последовательность нуклеотидов небольших (около 400 пар нуклеотидов) фрагментов, которые мутируют наиболее быстро. Другой метод анализа — определение изменений в участках ДНК, распоз</w:t>
      </w:r>
      <w:r>
        <w:t xml:space="preserve">наваемых ферментами, рестриктазами. Для большей точности используют комбинацию обоих методов. Поскольку технически изучать мтДНК проще, такие работы были начаты раньше, чем по Y-хромосоме. </w:t>
      </w:r>
    </w:p>
    <w:p w:rsidR="00000000" w:rsidRDefault="009D3E44">
      <w:r>
        <w:rPr>
          <w:b/>
          <w:bCs/>
        </w:rPr>
        <w:t>“Митохондриальная Ева”</w:t>
      </w:r>
      <w:r>
        <w:t xml:space="preserve"> </w:t>
      </w:r>
    </w:p>
    <w:p w:rsidR="00000000" w:rsidRDefault="009D3E44">
      <w:r>
        <w:t>Первые получившие известность исследования</w:t>
      </w:r>
      <w:r>
        <w:t xml:space="preserve"> мтДНК представителей разных рас выявили общность происхождения всех ныне живущих людей по женской линии. В 1987 г. А.Уилсон и его коллеги из Калифорнийского университета в Беркли получили мтДНК от 147 представителей различных рас [</w:t>
      </w:r>
      <w:hyperlink r:id="rId4" w:anchor="1" w:history="1">
        <w:r>
          <w:rPr>
            <w:rStyle w:val="a3"/>
          </w:rPr>
          <w:t>1</w:t>
        </w:r>
      </w:hyperlink>
      <w:r>
        <w:t>]. В исследуемом фрагменте они определили количество индивидуальных мутаций, а также их координаты и тип. Анализ показал, что все мтДНК возникли от одной предковой последовательности. По степени их</w:t>
      </w:r>
      <w:r>
        <w:t xml:space="preserve"> разнообразия Уилсон оценил время, прошедшее с тех пор, как существовала предковая последовательность. Оно вычисляется как время схождения всех линий мтДНК в одну точку, называемую точкой коалесценции. В соответствии с его выводами, общая “праматерь”, к ко</w:t>
      </w:r>
      <w:r>
        <w:t>торой восходят все типы мтДНК современных людей, жила в Восточной Африке менее 200 тыс. лет назад. Установить последовательность возникновения мутаций в поколениях предков у обследованных индивидов тогда не удалось, но работы последних лет подтвердили выво</w:t>
      </w:r>
      <w:r>
        <w:t xml:space="preserve">ды Уилсона. </w:t>
      </w:r>
    </w:p>
    <w:p w:rsidR="00000000" w:rsidRDefault="009D3E44">
      <w:r>
        <w:t>Вопрос о прародине человечества дискутируется не одно десятилетие. Часть специалистов полагала, что человек возник в одном из регионов мира (наиболее часто упоминалась Африка) и затем расселился по всей Земле. Другая придерживалась так называе</w:t>
      </w:r>
      <w:r>
        <w:t xml:space="preserve">мой мультирегиональной гипотезы, согласно которой предковый вид </w:t>
      </w:r>
      <w:r>
        <w:rPr>
          <w:i/>
          <w:iCs/>
        </w:rPr>
        <w:t>Homo erectus</w:t>
      </w:r>
      <w:r>
        <w:t xml:space="preserve"> превратился в </w:t>
      </w:r>
      <w:r>
        <w:rPr>
          <w:i/>
          <w:iCs/>
        </w:rPr>
        <w:t>Homo sapiens</w:t>
      </w:r>
      <w:r>
        <w:t xml:space="preserve"> в различных точках земного шара независимо. С появлением молекулярных данных значительный перевес получила “африканская” гипотеза. </w:t>
      </w:r>
      <w:r>
        <w:br/>
        <w:t xml:space="preserve"> 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0"/>
        <w:gridCol w:w="4031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0FB1">
            <w:r>
              <w:rPr>
                <w:noProof/>
              </w:rPr>
              <w:lastRenderedPageBreak/>
              <w:drawing>
                <wp:inline distT="0" distB="0" distL="0" distR="0">
                  <wp:extent cx="1819275" cy="1428750"/>
                  <wp:effectExtent l="0" t="0" r="0" b="0"/>
                  <wp:docPr id="1" name="Рисунок 1" descr="D:\Новая папка (2)\VIVOS VOCO Н_К_Янковский, С_А_Боринская, Наша история, записанная в ДНК.files\YANK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VIVOS VOCO Н_К_Янковский, С_А_Боринская, Наша история, записанная в ДНК.files\YANK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D3E44">
            <w:r>
              <w:rPr>
                <w:b/>
                <w:bCs/>
              </w:rPr>
              <w:t>Филогенетическое древо популяций</w:t>
            </w:r>
          </w:p>
        </w:tc>
      </w:tr>
    </w:tbl>
    <w:p w:rsidR="00000000" w:rsidRDefault="009D3E44">
      <w:r>
        <w:t>После работ Уилсона обладательницу предковой мтДНК окрестили “ми</w:t>
      </w:r>
      <w:r>
        <w:t xml:space="preserve">тохондриальной Евой”. Это сразу породило неверные толкования — будто все человечество произошло от одной женщины. На самом деле линии мтДНК современниц “Евы”, несомненно существовавших, до нашего времени не дошли. И произошло это не потому, что “Ева” была </w:t>
      </w:r>
      <w:r>
        <w:t>особенной. Концепция молекулярных часов построена на предположении о нейтральности большинства мутаций, т.е. подразумевает, что ничем особенным от соплеменниц “Ева” не отличалась. Просто генетическое разноообразие в популяции всегда уменьшается, если в чер</w:t>
      </w:r>
      <w:r>
        <w:t xml:space="preserve">еде поколений случаются резкие падения численности (прохождение “бутылочного горлышка”). А такое в истории человечества случалось не раз. Так что со временем все другие линии, кроме одной, исчезли по статистическим причинам. </w:t>
      </w:r>
    </w:p>
    <w:p w:rsidR="00000000" w:rsidRDefault="009D3E44">
      <w:r>
        <w:t>Пока люди живут вместе, появля</w:t>
      </w:r>
      <w:r>
        <w:t>ющиеся у них мутации распространяются по всей группе. Если же группы делятся, мутации в них накапливаются независимо. Число таких различий между группами пропорционально времени, прошедшему с момента их расхождения, что и позволяет датировать события попул</w:t>
      </w:r>
      <w:r>
        <w:t xml:space="preserve">яционной истории. На основе изучения мтДНК населения разных регионов мира удалось выяснить пути и даты основных миграций прекрасной половины человечества. </w:t>
      </w:r>
    </w:p>
    <w:p w:rsidR="00000000" w:rsidRDefault="009D3E44">
      <w:r>
        <w:rPr>
          <w:b/>
          <w:bCs/>
        </w:rPr>
        <w:t>Африканские предки</w:t>
      </w:r>
      <w:r>
        <w:t xml:space="preserve"> </w:t>
      </w:r>
    </w:p>
    <w:p w:rsidR="00000000" w:rsidRDefault="009D3E44">
      <w:r>
        <w:t xml:space="preserve">К большой радости генетиков реконструкция популяционной истории человечества по </w:t>
      </w:r>
      <w:r>
        <w:t>Y-хромосоме показала, что “Адам” — предок современных мужчин — жил примерно там же, где и “Ева”. Хотя данные, полученные при анализе Y-хромосомы, менее точны, чем митохондриальные, они также указывают на африканское происхождение человека и единую предкову</w:t>
      </w:r>
      <w:r>
        <w:t>ю популяцию. Молекулярные датировки времени ее разделения на ветви, ведущие к современным популяциям, зависят от методов оценки и, по данным разных авторов, колеблются от 30—40 тыс. лет назад (что противоречит палеонтологическим данным) до 180 тыс. лет наз</w:t>
      </w:r>
      <w:r>
        <w:t>ад. Как наиболее вероятный называют период от 57 до 135 тыс. лет назад [</w:t>
      </w:r>
      <w:hyperlink r:id="rId6" w:anchor="2" w:history="1">
        <w:r>
          <w:rPr>
            <w:rStyle w:val="a3"/>
          </w:rPr>
          <w:t>2</w:t>
        </w:r>
      </w:hyperlink>
      <w:r>
        <w:t xml:space="preserve">]. </w:t>
      </w:r>
    </w:p>
    <w:p w:rsidR="00000000" w:rsidRDefault="009D3E44">
      <w:r>
        <w:t xml:space="preserve">Гипотезу африканского происхождения человека подтверждает ряд независимых исследований. Особенно </w:t>
      </w:r>
      <w:r>
        <w:t xml:space="preserve">интересны работы по изучению народов Южной и Восточной Африки — бушменов и готтентотов. Их языки содержат щелкающие звуки, нигде больше не встречающиеся, и относятся к так называемой койсанской группе (комбинация слов “кой-койн” — самоназвание готтентотов </w:t>
      </w:r>
      <w:r>
        <w:t>и “сан” — название бушменов), обособленно стоящей в системе языков мира. Они значительно отличаются от остальных африканских народов, в том числе и от своих соседей банту, не только лингвистически, но и антропологически: у них более светлая кожа, узкий нос</w:t>
      </w:r>
      <w:r>
        <w:t>, для женщин бушменов характерно избыточное отложение жира на ягодицах (стеатопигия), а для мужчин — особое строение половых органов. Отличия проявляются и в мтДНК: у бушменов обнаружена мутация, которая появилась одной из первых после возникновения челове</w:t>
      </w:r>
      <w:r>
        <w:t>ка как вида [</w:t>
      </w:r>
      <w:hyperlink r:id="rId7" w:anchor="3" w:history="1">
        <w:r>
          <w:rPr>
            <w:rStyle w:val="a3"/>
          </w:rPr>
          <w:t>3</w:t>
        </w:r>
      </w:hyperlink>
      <w:r>
        <w:t>]. В Y-хромосоме некоторых бушменов также присутствует древняя мутация, не обнаруженная ни у кого из людей в других частях света, но найденная у обезьян. Вероят</w:t>
      </w:r>
      <w:r>
        <w:t>но, она возникла еще до разделения предковых линий человека и шимпанзе (5—7 млн лет назад) и непрерывно поддерживалась в части предковой популяции человека и шимпанзе. Возможно, эта мутация сохранилась только у бушменов потому, что их многочисленные предки</w:t>
      </w:r>
      <w:r>
        <w:t xml:space="preserve"> в определенный момент истории заселяли значительную часть африканского континента. Впоследствии они были оттеснены на юг племенами, говорящими на банту. На это указывают и результаты изучения костных останков людей, найденных в Африке, — они сходны по тип</w:t>
      </w:r>
      <w:r>
        <w:t xml:space="preserve">у с современными представителями койсанской группы. </w:t>
      </w:r>
    </w:p>
    <w:p w:rsidR="00000000" w:rsidRDefault="009D3E44">
      <w:r>
        <w:t>Интересно, что популяционные различия по Y-хромосоме оказались в несколько раз выше, чем по мтДНК. Это говорит о том, что перемешивание генетического материала по женской линии более интенсивно, т.е. уро</w:t>
      </w:r>
      <w:r>
        <w:t>вень миграции женщин почти на порядок выше, чем у мужчин [</w:t>
      </w:r>
      <w:hyperlink r:id="rId8" w:anchor="4" w:history="1">
        <w:r>
          <w:rPr>
            <w:rStyle w:val="a3"/>
          </w:rPr>
          <w:t>4</w:t>
        </w:r>
      </w:hyperlink>
      <w:r>
        <w:t>]. И хотя эти данные на первый взгляд могут показаться удивительными (путешествия всегда считались прерогативой муж</w:t>
      </w:r>
      <w:r>
        <w:t>чин), их можно объяснить характерной для большинства человеческих обществ патрилокальностью (уходом жены в дом мужа). Брачные миграции женщин оставили более заметный след на генетической карте человечества, чем дальние походы Чингизхана или Аттилы [</w:t>
      </w:r>
      <w:hyperlink r:id="rId9" w:anchor="5" w:history="1">
        <w:r>
          <w:rPr>
            <w:rStyle w:val="a3"/>
          </w:rPr>
          <w:t>5</w:t>
        </w:r>
      </w:hyperlink>
      <w:r>
        <w:t xml:space="preserve">]. </w:t>
      </w:r>
    </w:p>
    <w:p w:rsidR="00000000" w:rsidRDefault="009D3E44">
      <w:r>
        <w:rPr>
          <w:b/>
          <w:bCs/>
        </w:rPr>
        <w:t>Исследования ДНК неандертальцев</w:t>
      </w:r>
      <w:r>
        <w:t xml:space="preserve"> </w:t>
      </w:r>
    </w:p>
    <w:p w:rsidR="00000000" w:rsidRDefault="009D3E44">
      <w:r>
        <w:t>В 1997 г. генетик С.Пэбо сумел прочесть фрагмент мтДНК, выделенной из останков неандертальца, найденного в 1856 г. в Фельдгоферовской пещере бл</w:t>
      </w:r>
      <w:r>
        <w:t>из Дюссельдорфа в Германии [</w:t>
      </w:r>
      <w:hyperlink r:id="rId10" w:anchor="6" w:history="1">
        <w:r>
          <w:rPr>
            <w:rStyle w:val="a3"/>
          </w:rPr>
          <w:t>6</w:t>
        </w:r>
      </w:hyperlink>
      <w:r>
        <w:t xml:space="preserve">]. Эта пещера находится в долине Неандерталь (Neander Tal). В 1863 г. английский антрополог и анатом У.Кинг предложил для находки название </w:t>
      </w:r>
      <w:r>
        <w:rPr>
          <w:i/>
          <w:iCs/>
        </w:rPr>
        <w:t>Homo n</w:t>
      </w:r>
      <w:r>
        <w:rPr>
          <w:i/>
          <w:iCs/>
        </w:rPr>
        <w:t>eanderthalensis</w:t>
      </w:r>
      <w:r>
        <w:t>*. Летом 2000 г. появилось сообщение другой группы ученых об исследовании второго образца неандертальской мтДНК из останков скелета ребенка, найденного в пещере Мезмайская на Северном Кавказе [</w:t>
      </w:r>
      <w:hyperlink r:id="rId11" w:anchor="7" w:history="1">
        <w:r>
          <w:rPr>
            <w:rStyle w:val="a3"/>
          </w:rPr>
          <w:t>7</w:t>
        </w:r>
      </w:hyperlink>
      <w:r>
        <w:t xml:space="preserve">]. Во втором случае останки точно датированы радиоуглеродным методом — им 29 тыс. лет. Это — представитель одной из последних живших на Земле групп неандертальцев. </w:t>
      </w:r>
    </w:p>
    <w:p w:rsidR="00000000" w:rsidRDefault="009D3E44">
      <w:r>
        <w:rPr>
          <w:color w:val="CC0000"/>
        </w:rPr>
        <w:t>* Интересно, что название долины, данное в честь компози</w:t>
      </w:r>
      <w:r>
        <w:rPr>
          <w:color w:val="CC0000"/>
        </w:rPr>
        <w:t>тора XVII в. Иоахима Ноймана (Neumann — новый человек — по-гречески Neander), означает «новый человек».</w:t>
      </w:r>
      <w:r>
        <w:t xml:space="preserve"> </w:t>
      </w:r>
    </w:p>
    <w:p w:rsidR="00000000" w:rsidRDefault="009D3E44">
      <w:r>
        <w:t>Неандертальцы — группа гоминид, предки которых вышли из Африки раньше, чем предки современных людей. Неандертальцы населяли Европу и Западную Азию в пе</w:t>
      </w:r>
      <w:r>
        <w:t>риод от 300 тыс. до 28 тыс. лет назад. Какое-то время они сосуществовали с человеком современного анатомического типа, расселившимся в Европе около 40 тыс. лет назад. Ранее на основе морфологического сравнения неандертальцев с человеком современного типа б</w:t>
      </w:r>
      <w:r>
        <w:t xml:space="preserve">ыло предложено три гипотезы: неандертальцы — прямые предки человека; они внесли некоторый генетический вклад в генофонд </w:t>
      </w:r>
      <w:r>
        <w:rPr>
          <w:i/>
          <w:iCs/>
        </w:rPr>
        <w:t>Homo sapiens;</w:t>
      </w:r>
      <w:r>
        <w:t xml:space="preserve"> они представляли независимую ветвь, которую полностью вытеснил человек современного типа. </w:t>
      </w:r>
      <w:r>
        <w:br/>
        <w:t xml:space="preserve"> 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5"/>
        <w:gridCol w:w="2573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0FB1">
            <w:r>
              <w:rPr>
                <w:noProof/>
              </w:rPr>
              <w:drawing>
                <wp:inline distT="0" distB="0" distL="0" distR="0">
                  <wp:extent cx="3714750" cy="1838325"/>
                  <wp:effectExtent l="0" t="0" r="0" b="0"/>
                  <wp:docPr id="2" name="Рисунок 2" descr="D:\Новая папка (2)\VIVOS VOCO Н_К_Янковский, С_А_Боринская, Наша история, записанная в ДНК.files\YANK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(2)\VIVOS VOCO Н_К_Янковский, С_А_Боринская, Наша история, записанная в ДНК.files\YANK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D3E44">
            <w:r>
              <w:rPr>
                <w:b/>
                <w:bCs/>
              </w:rPr>
              <w:t>Места находок останков неандертальцев.</w:t>
            </w:r>
          </w:p>
          <w:p w:rsidR="00000000" w:rsidRDefault="009D3E44">
            <w:r>
              <w:rPr>
                <w:b/>
                <w:bCs/>
              </w:rPr>
              <w:t>Отмечено положение пещер Фельдгофер и Мезмай</w:t>
            </w:r>
          </w:p>
        </w:tc>
      </w:tr>
    </w:tbl>
    <w:p w:rsidR="00000000" w:rsidRDefault="009D3E44">
      <w:r>
        <w:t>Результаты молекулярно-ге</w:t>
      </w:r>
      <w:r>
        <w:t xml:space="preserve">нетических исследований свидетельствуют в пользу третьей гипотезы. Обе неандертальские мтДНК имеют общие отличия от мтДНК людей, выходящие за границы внутривидового разнообразия </w:t>
      </w:r>
      <w:r>
        <w:rPr>
          <w:i/>
          <w:iCs/>
        </w:rPr>
        <w:t xml:space="preserve">H.sapiens. </w:t>
      </w:r>
      <w:r>
        <w:t xml:space="preserve">Это говорит о том, что неандертальцы — генетически отдельная, хотя </w:t>
      </w:r>
      <w:r>
        <w:t>и близкородственная человеку ветвь. По числу различий между их мтДНК время существования последнего общего предка человека и неандертальца оценивается в 500 тыс. лет. Палеонтологи считают, что предки неандертальцев появились в Европе около 300 тыс. лет наз</w:t>
      </w:r>
      <w:r>
        <w:t xml:space="preserve">ад, т.е. генетические линии, ведущие к человеку и неандертальцу, разделились раньше этой даты, как показывают датировки по мтДНК. </w:t>
      </w:r>
    </w:p>
    <w:p w:rsidR="00000000" w:rsidRDefault="009D3E44">
      <w:r>
        <w:t>Таким образом, неандерталец эволюционировал в Европе одновременно с предком современного человека в Африке. Известно, что в Е</w:t>
      </w:r>
      <w:r>
        <w:t xml:space="preserve">вропе 40—50 тыс. лет назад расселился человек современного типа, а неандертальцы вымерли 28 тыс. лет назад. Неизвестно, какова связь этих событий — проиграл ли неандерталец в конкуренции с человеком или вымер по другим причинам. </w:t>
      </w:r>
    </w:p>
    <w:p w:rsidR="00000000" w:rsidRDefault="009D3E44">
      <w:r>
        <w:rPr>
          <w:b/>
          <w:bCs/>
        </w:rPr>
        <w:t>Волны миграций и заселение</w:t>
      </w:r>
      <w:r>
        <w:rPr>
          <w:b/>
          <w:bCs/>
        </w:rPr>
        <w:t xml:space="preserve"> континентов</w:t>
      </w:r>
      <w:r>
        <w:t xml:space="preserve"> </w:t>
      </w:r>
    </w:p>
    <w:p w:rsidR="00000000" w:rsidRDefault="009D3E44">
      <w:r>
        <w:t>Считается, что циклические изменения климата, происходившие с интервалом в десятки тысяч лет, играли существенную роль в эволюции и распространении всех видов, в том числе и человека. В периоды похолодания нарастала масса континентальных ледн</w:t>
      </w:r>
      <w:r>
        <w:t>иков, обитаемые природно-климатические зоны сдвигались на юг, уровень моря и озер снижался на сотни метров, увеличивалась площадь пустынь, съеживались тропические леса. С наступлением ледника в Европе сокращались обитаемые зоны и численность животных, спло</w:t>
      </w:r>
      <w:r>
        <w:t xml:space="preserve">шное “море” жизни распадалось на отдельные “озера”. </w:t>
      </w:r>
    </w:p>
    <w:p w:rsidR="00000000" w:rsidRDefault="009D3E44">
      <w:r>
        <w:t>В периоды потепления повышались численность и разнообразие живых форм, виды расселялись на пригодные для жизни территории — из Африки в Азию и Европу через Суэцкий перешеек и в Европе — на освободившиеся</w:t>
      </w:r>
      <w:r>
        <w:t xml:space="preserve"> из-под ледника территории. Таким образом, контакты африканской и евразийской биоты определялись глобальными циклами потепления—похолодания. Эти колебания приводили к значительным изменениям флоры и фауны всего Земного шара. </w:t>
      </w:r>
      <w:r>
        <w:br/>
        <w:t xml:space="preserve">. </w:t>
      </w:r>
    </w:p>
    <w:p w:rsidR="00000000" w:rsidRDefault="00E40FB1">
      <w:r>
        <w:rPr>
          <w:noProof/>
        </w:rPr>
        <w:drawing>
          <wp:inline distT="0" distB="0" distL="0" distR="0">
            <wp:extent cx="5305425" cy="4048125"/>
            <wp:effectExtent l="0" t="0" r="0" b="0"/>
            <wp:docPr id="3" name="Рисунок 3" descr="D:\Новая папка (2)\VIVOS VOCO Н_К_Янковский, С_А_Боринская, Наша история, записанная в ДНК.files\YAN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2)\VIVOS VOCO Н_К_Янковский, С_А_Боринская, Наша история, записанная в ДНК.files\YANK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3E44">
      <w:r>
        <w:rPr>
          <w:b/>
          <w:bCs/>
        </w:rPr>
        <w:t xml:space="preserve">Пути и время расселения людей, установленные при анализе основных </w:t>
      </w:r>
      <w:r>
        <w:rPr>
          <w:b/>
          <w:bCs/>
        </w:rPr>
        <w:br/>
        <w:t>материнских и отцовских (показано цветом)</w:t>
      </w:r>
      <w:r>
        <w:rPr>
          <w:b/>
          <w:bCs/>
        </w:rPr>
        <w:t xml:space="preserve"> генетических линий</w:t>
      </w:r>
    </w:p>
    <w:p w:rsidR="00000000" w:rsidRDefault="009D3E44">
      <w:r>
        <w:t xml:space="preserve">Исследования генетического разнообразия современных людей показали, что оно значительно ниже, чем, например, у шимпанзе, наших ближайших родственников в мире животных. Это означает, что человек как вид значительно позже шимпанзе прошел </w:t>
      </w:r>
      <w:r>
        <w:t xml:space="preserve">через “бутылочное горлышко” — резкое падение численности популяции, и/или это падение для человека было гораздо существеннее, чем для шимпанзе. </w:t>
      </w:r>
    </w:p>
    <w:p w:rsidR="00000000" w:rsidRDefault="009D3E44">
      <w:r>
        <w:t>Различные группы генетиков пришли к выводу, что на протяжении последнего миллиона лет численность популяции пря</w:t>
      </w:r>
      <w:r>
        <w:t>мых предков человека колебалась от 40 до 100 тыс. В период прохождения “бутылочного горлышка”, около 130 тыс. лет назад, значительно снизилось генетическо разнообразие предков человека, так как их общая численность сократилась до 10 тыс. индивидов и носите</w:t>
      </w:r>
      <w:r>
        <w:t>ли многих генетических вариантов исчезли [</w:t>
      </w:r>
      <w:hyperlink r:id="rId14" w:anchor="10" w:history="1">
        <w:r>
          <w:rPr>
            <w:rStyle w:val="a3"/>
          </w:rPr>
          <w:t>10</w:t>
        </w:r>
      </w:hyperlink>
      <w:r>
        <w:t>]. Для сравнения — численность ныне живущих шимпанзе (а этот вид находится под угрозой исчезновения) составляет 100—200 тыс. особ</w:t>
      </w:r>
      <w:r>
        <w:t xml:space="preserve">ей. </w:t>
      </w:r>
    </w:p>
    <w:p w:rsidR="00000000" w:rsidRDefault="00E40FB1">
      <w:r>
        <w:rPr>
          <w:noProof/>
        </w:rPr>
        <w:drawing>
          <wp:inline distT="0" distB="0" distL="0" distR="0">
            <wp:extent cx="4124325" cy="3228975"/>
            <wp:effectExtent l="0" t="0" r="0" b="0"/>
            <wp:docPr id="4" name="Рисунок 4" descr="D:\Новая папка (2)\VIVOS VOCO Н_К_Янковский, С_А_Боринская, Наша история, записанная в ДНК.files\YAN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 (2)\VIVOS VOCO Н_К_Янковский, С_А_Боринская, Наша история, записанная в ДНК.files\YANK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3E44">
      <w:r>
        <w:br/>
      </w:r>
      <w:r>
        <w:rPr>
          <w:b/>
          <w:bCs/>
        </w:rPr>
        <w:t>Схематическое представление популяционной истории человека и неандертальца на основе анализа мтДНК и палеонтологических данных. Линии мтДНК современных людей сходятся в точке (точка коалесценции), соответствующей снижен</w:t>
      </w:r>
      <w:r>
        <w:rPr>
          <w:b/>
          <w:bCs/>
        </w:rPr>
        <w:t>ию численности популяции (“бутылочному горлышку”) и отделяющей человека современного анатомического типа от архаических африканских гоминид. Разделение генетических линий (точка коалесценции) предшествует разделению популяций. Цветом показаны предполагаемы</w:t>
      </w:r>
      <w:r>
        <w:rPr>
          <w:b/>
          <w:bCs/>
        </w:rPr>
        <w:t>е колебания численности популяций, установленные по уровню разнообразия ДНК современных людей.</w:t>
      </w:r>
    </w:p>
    <w:p w:rsidR="00000000" w:rsidRDefault="009D3E44">
      <w:r>
        <w:t>Сравнительный анализ мтДНК разных популяций современных людей позволил предположить, что еще до выхода из Африки, около 60—70 тыс. лет назад (когда также наблюда</w:t>
      </w:r>
      <w:r>
        <w:t>лось снижение численности, хотя и не столь значительное), предковая популяция разделилась по крайней мере на три группы, давшие начало африканской, монголоидной и европеоидной расам [</w:t>
      </w:r>
      <w:hyperlink r:id="rId16" w:anchor="8" w:history="1">
        <w:r>
          <w:rPr>
            <w:rStyle w:val="a3"/>
          </w:rPr>
          <w:t>8</w:t>
        </w:r>
      </w:hyperlink>
      <w:r>
        <w:t xml:space="preserve">]. В отечественной литературе их обозначают как экваториальная, азиатско-американская и евразийская расы, что более точно отражает их современное географическое распространение. </w:t>
      </w:r>
    </w:p>
    <w:p w:rsidR="00000000" w:rsidRDefault="009D3E44">
      <w:r>
        <w:t>Часть расовых признаков, возможно, возникла позже как адаптация к у</w:t>
      </w:r>
      <w:r>
        <w:t>словиям обитания. Это относится по крайней мере к цвету кожи — одному из наиболее значимых для большинства людей расовых признаков. Степень пигментации у человека генетически задана и, вероятно, в каждой популяции соответствует географической широте обитан</w:t>
      </w:r>
      <w:r>
        <w:t>ия. Пигментация обеспечивает защиту от солнечного облучения, но не должна препятствовать образованию, например, некоторых витаминов, предотвращающих рахит и необходимых для нормальной плодовитости [</w:t>
      </w:r>
      <w:hyperlink r:id="rId17" w:anchor="12" w:history="1">
        <w:r>
          <w:rPr>
            <w:rStyle w:val="a3"/>
          </w:rPr>
          <w:t>12</w:t>
        </w:r>
      </w:hyperlink>
      <w:r>
        <w:t xml:space="preserve">]. </w:t>
      </w:r>
    </w:p>
    <w:p w:rsidR="00000000" w:rsidRDefault="009D3E44">
      <w:r>
        <w:t>На основе генетических данных постепенно проясняется картина заселения Азии, Европы и Америки. В недавно опубликованных работах определены частоты древних типов мтДНК и Y-хромосом, принесенных в Европу 40—50 тыс. лет назад пе</w:t>
      </w:r>
      <w:r>
        <w:t>рвыми поселенцами, а также других, распространившихся позже, в том числе и тех, которые отражают экспансию земледельческих племен с Ближнего Востока 9 тыс. лет назад. И здесь генетические исследования пролили свет на еще один вопрос, также вызывавший на пр</w:t>
      </w:r>
      <w:r>
        <w:t xml:space="preserve">отяжении многих лет горячие споры. </w:t>
      </w:r>
    </w:p>
    <w:p w:rsidR="00000000" w:rsidRDefault="009D3E44">
      <w:r>
        <w:t>Как распространяется культура? Перенимают ли люди традиции, технологии и идеи от представителей другой культуры (концепция культурной диффузии); или идеи и технологии путешествуют по миру только вместе со своими носителя</w:t>
      </w:r>
      <w:r>
        <w:t xml:space="preserve">ми, и смена культуры происходит одновременно со сменой населения (концепция демической диффузии)? </w:t>
      </w:r>
    </w:p>
    <w:p w:rsidR="00000000" w:rsidRDefault="009D3E44">
      <w:r>
        <w:t xml:space="preserve">До недавнего времени преобладала концепция демической диффузии. Считалось, что земледельцы, пришедшие в Европу из Малой Азии около 10 тыс. лет назад, внесли </w:t>
      </w:r>
      <w:r>
        <w:t>основную долю в генофонд современных европейцев, вытеснив проживавшие в Европе палеолитические популяции [</w:t>
      </w:r>
      <w:hyperlink r:id="rId18" w:anchor="9" w:history="1">
        <w:r>
          <w:rPr>
            <w:rStyle w:val="a3"/>
          </w:rPr>
          <w:t>9</w:t>
        </w:r>
      </w:hyperlink>
      <w:r>
        <w:t>]. Однако опубликованные в прошлом году, но уже общепризнанные рабо</w:t>
      </w:r>
      <w:r>
        <w:t>ты [</w:t>
      </w:r>
      <w:hyperlink r:id="rId19" w:anchor="10" w:history="1">
        <w:r>
          <w:rPr>
            <w:rStyle w:val="a3"/>
          </w:rPr>
          <w:t>10</w:t>
        </w:r>
      </w:hyperlink>
      <w:r>
        <w:t xml:space="preserve">, </w:t>
      </w:r>
      <w:hyperlink r:id="rId20" w:anchor="11" w:history="1">
        <w:r>
          <w:rPr>
            <w:rStyle w:val="a3"/>
          </w:rPr>
          <w:t>11</w:t>
        </w:r>
      </w:hyperlink>
      <w:r>
        <w:t>] показали, что генетическая доля мигрантов-земледельцев составляет в современно</w:t>
      </w:r>
      <w:r>
        <w:t xml:space="preserve">м населении Европы не более 10—20%. Это значит, что относительно небольшое число земледельцев привнесло в палеолитическую Европу технические новации, и в результате на всей европейской территории сменился тип хозяйства и культуры. </w:t>
      </w:r>
    </w:p>
    <w:p w:rsidR="00000000" w:rsidRDefault="009D3E44">
      <w:r>
        <w:rPr>
          <w:b/>
          <w:bCs/>
        </w:rPr>
        <w:t>Генетическое разнообрази</w:t>
      </w:r>
      <w:r>
        <w:rPr>
          <w:b/>
          <w:bCs/>
        </w:rPr>
        <w:t>е народов России</w:t>
      </w:r>
      <w:r>
        <w:t xml:space="preserve"> </w:t>
      </w:r>
    </w:p>
    <w:p w:rsidR="00000000" w:rsidRDefault="009D3E44">
      <w:r>
        <w:t>В России изучение генетического разнообразия видов имеет очень давнюю традицию, восходящую к работам 20-х годов прошлого столетия основателей отечественной генетики А.С.Серебровского и С.С.Четверикова. Крупнейший итог популяционно-генетич</w:t>
      </w:r>
      <w:r>
        <w:t>еских иследований человека 80—90-х годов — пятитомное издание “Генофонд и геногеография народонаселения” под общей редакцией профессора Ю.Г.Рычкова из Института общей генетики РАН (Рычков и др., 2000). Его труды, выполненные в рамках фундаментальных научны</w:t>
      </w:r>
      <w:r>
        <w:t>х программ РАН, РФФИ, а также программы “Приоритетные направления генетики”, и сейчас лежат в основе принципов подбора материала для современных исследований и формирования исходных гипотез. Ряд лабораторий, участников российской программы “Геном человека”</w:t>
      </w:r>
      <w:r>
        <w:t xml:space="preserve"> (в том числе и наша лаборатория), изучает генетическое разнообразие народов европейской части России [</w:t>
      </w:r>
      <w:hyperlink r:id="rId21" w:anchor="12" w:history="1">
        <w:r>
          <w:rPr>
            <w:rStyle w:val="a3"/>
          </w:rPr>
          <w:t>12</w:t>
        </w:r>
      </w:hyperlink>
      <w:r>
        <w:t xml:space="preserve">]. </w:t>
      </w:r>
    </w:p>
    <w:p w:rsidR="00000000" w:rsidRDefault="009D3E44">
      <w:r>
        <w:t>Линии мтДНК, попавшие в Европу в эпоху палеолита около 40—50 тыс</w:t>
      </w:r>
      <w:r>
        <w:t>. лет назад, составляют сейчас значительную часть мтДНК людей, населяющих территории от северо-запада Европы до Уральских гор. Наиболее четкие различия, обнаруженные между отдельными линиями мтДНК, указывают на их монголоидное или европеоидное происхождени</w:t>
      </w:r>
      <w:r>
        <w:t xml:space="preserve">е. Мы обследовали русских и большинство народов Волжского бассейна и Урала. Выяснилось, что у всех народов, кроме башкир, по материнской линии преобладает европеоидный компонент. Градиент его падения проходит примерно с запада на восток и не коррелирует с </w:t>
      </w:r>
      <w:r>
        <w:t xml:space="preserve">языком этих народов. У русских (население Рязанской, Курской и Калужской областей), говорящих на языке индоевропейской группы, 97—98% материнских линий — европеоидные, а доля монголоидного компонента составляет 2—3%. Европеоидные линии преобладают также у </w:t>
      </w:r>
      <w:r>
        <w:t>народов финно-угорской языковой группы (мари, удмурты, коми) — от 80 до 94%, и у тюркоговорящих народов, проживающих в этом регионе. Так, 85% татар по материнской линии европеоидные, а чувашей 90%. Лишь у их восточных соседей, башкир, монголоидные линии со</w:t>
      </w:r>
      <w:r>
        <w:t>ставляют 65%. Значит, современная граница расселения европеоидов и монголоидов географически проходит примерно по Уралу, а популяционно-генетически — между башкирами, обитающими по обе стороны Уральского хребта, и их западными соседями - татарами. Повторим</w:t>
      </w:r>
      <w:r>
        <w:t xml:space="preserve">, что доля европеоидных и монголоидных линий не коррелирует с языком, на котором говорят эти народы. </w:t>
      </w:r>
    </w:p>
    <w:p w:rsidR="00000000" w:rsidRDefault="00E40FB1">
      <w:r>
        <w:rPr>
          <w:noProof/>
        </w:rPr>
        <w:drawing>
          <wp:inline distT="0" distB="0" distL="0" distR="0">
            <wp:extent cx="3219450" cy="3143250"/>
            <wp:effectExtent l="0" t="0" r="0" b="0"/>
            <wp:docPr id="5" name="Рисунок 5" descr="D:\Новая папка (2)\VIVOS VOCO Н_К_Янковский, С_А_Боринская, Наша история, записанная в ДНК.files\YANK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 (2)\VIVOS VOCO Н_К_Янковский, С_А_Боринская, Наша история, записанная в ДНК.files\YANK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3E44">
      <w:r>
        <w:rPr>
          <w:b/>
          <w:bCs/>
        </w:rPr>
        <w:t xml:space="preserve">Материнские генетические линии у народов Волго-Уральского региона. Доля европеоидных линий мтДНК </w:t>
      </w:r>
      <w:r>
        <w:rPr>
          <w:b/>
          <w:bCs/>
          <w:i/>
          <w:iCs/>
        </w:rPr>
        <w:t xml:space="preserve">(цветной сектор) </w:t>
      </w:r>
      <w:r>
        <w:rPr>
          <w:b/>
          <w:bCs/>
        </w:rPr>
        <w:t xml:space="preserve">падает при продвижении с запада на восток, а доля монголоидных </w:t>
      </w:r>
      <w:r>
        <w:rPr>
          <w:b/>
          <w:bCs/>
          <w:i/>
          <w:iCs/>
        </w:rPr>
        <w:t>(белый сектор)</w:t>
      </w:r>
      <w:r>
        <w:rPr>
          <w:b/>
          <w:bCs/>
        </w:rPr>
        <w:t xml:space="preserve"> возрастает. Исследованные этнические группы </w:t>
      </w:r>
      <w:r>
        <w:rPr>
          <w:b/>
          <w:bCs/>
        </w:rPr>
        <w:t>относятся к различным языковым семьям: индоевропейской (из славянских языков, относящихся к этой семье, приведены русские), уральской (финно-угорские языки; указаны белым шрифтом) и алтайской (тюркские языки; подчеркнуты)</w:t>
      </w:r>
      <w:r>
        <w:t xml:space="preserve"> </w:t>
      </w:r>
    </w:p>
    <w:p w:rsidR="00000000" w:rsidRDefault="009D3E44">
      <w:r>
        <w:t>Наши исследования показывают и ра</w:t>
      </w:r>
      <w:r>
        <w:t>знообразные детали формирования отдельных народов. Например, монголоидные линии мтДНК у народов Волго-Уральского региона имеют разное происхождение: одни из них появились, вероятно, из Сибири, а другие — из Центральной Азии. Сочетание обнаруженных нами ген</w:t>
      </w:r>
      <w:r>
        <w:t xml:space="preserve">етических линий образует мозаику, которая характеризует каждый из этих народов. </w:t>
      </w:r>
    </w:p>
    <w:p w:rsidR="00000000" w:rsidRDefault="009D3E44">
      <w:r>
        <w:t>Проектов по изучению генетического разнообразия людей становится все больше. Они дают сведения, важные для здравоохранения, а также для реконструкции исторических событий. Сей</w:t>
      </w:r>
      <w:r>
        <w:t xml:space="preserve">час известно, что многие мутации не нейтральны, скорость их накопления может быть различной для разных участков ДНК и на разных этапах эволюции. Поэтому абсолютные датировки, полученные на основе молекулярных методов, могут достаточно сильно различаться в </w:t>
      </w:r>
      <w:r>
        <w:t xml:space="preserve">зависимости от используемой системы анализа, и должны уточняться по мере развития экспериментальных методов и теоретических инструментов исследования. </w:t>
      </w:r>
    </w:p>
    <w:p w:rsidR="00000000" w:rsidRDefault="009D3E44">
      <w:r>
        <w:t>В заключение можно предположить, что сложившиеся к настоящему времени представления о последовательности</w:t>
      </w:r>
      <w:r>
        <w:t xml:space="preserve"> эволюционных и миграционных событий в истории человека как вида вряд ли сильно изменятся. Это, однако, не исключает сюрпризов при выявлении деталей формирования и взаимодействия разных популяций, приводивших к возникновению и смене языков и культур. Такие</w:t>
      </w:r>
      <w:r>
        <w:t xml:space="preserve"> исследования помогут не только лучше понять причины, определившие современную структуру народонаселения Земли, но и предсказать тенденции этих процессов, что может быть крайне важным для выработки стабильных и сбалансированных отношений между народами в б</w:t>
      </w:r>
      <w:r>
        <w:t xml:space="preserve">удущем. </w:t>
      </w:r>
    </w:p>
    <w:p w:rsidR="00000000" w:rsidRDefault="009D3E44">
      <w:r>
        <w:rPr>
          <w:b/>
          <w:bCs/>
        </w:rPr>
        <w:t>Литература</w:t>
      </w:r>
    </w:p>
    <w:p w:rsidR="00000000" w:rsidRDefault="009D3E44">
      <w:bookmarkStart w:id="1" w:name="1"/>
      <w:bookmarkEnd w:id="1"/>
      <w:r>
        <w:t xml:space="preserve">1. </w:t>
      </w:r>
      <w:r>
        <w:rPr>
          <w:i/>
          <w:iCs/>
        </w:rPr>
        <w:t>Cann R.L., Stoneking M., Wilson A.C.</w:t>
      </w:r>
      <w:r>
        <w:t xml:space="preserve"> // Nature. 1987. V.325. №6099. P.31—36. </w:t>
      </w:r>
    </w:p>
    <w:p w:rsidR="00000000" w:rsidRDefault="009D3E44">
      <w:bookmarkStart w:id="2" w:name="2"/>
      <w:bookmarkEnd w:id="2"/>
      <w:r>
        <w:t xml:space="preserve">2. </w:t>
      </w:r>
      <w:r>
        <w:rPr>
          <w:i/>
          <w:iCs/>
        </w:rPr>
        <w:t>Zhivotovsky L.A.</w:t>
      </w:r>
      <w:r>
        <w:t xml:space="preserve"> // Mol. Biol. Evol. 2001 (in press). </w:t>
      </w:r>
    </w:p>
    <w:p w:rsidR="00000000" w:rsidRDefault="009D3E44">
      <w:bookmarkStart w:id="3" w:name="3"/>
      <w:bookmarkEnd w:id="3"/>
      <w:r>
        <w:t xml:space="preserve">3. </w:t>
      </w:r>
      <w:r>
        <w:rPr>
          <w:i/>
          <w:iCs/>
        </w:rPr>
        <w:t>Viglant L., Stoneking M., Harpending H. et al.</w:t>
      </w:r>
      <w:r>
        <w:t xml:space="preserve"> // Science. 1991. V.253. P.1303—1307. </w:t>
      </w:r>
    </w:p>
    <w:p w:rsidR="00000000" w:rsidRDefault="009D3E44">
      <w:bookmarkStart w:id="4" w:name="4"/>
      <w:bookmarkEnd w:id="4"/>
      <w:r>
        <w:t xml:space="preserve">4. </w:t>
      </w:r>
      <w:r>
        <w:rPr>
          <w:i/>
          <w:iCs/>
        </w:rPr>
        <w:t>Seielstad M.T., Minch E., Cavalli-Sforza L.L.</w:t>
      </w:r>
      <w:r>
        <w:t xml:space="preserve"> // Nat. Genet. 1998. V.20. P.278—280. </w:t>
      </w:r>
    </w:p>
    <w:p w:rsidR="00000000" w:rsidRDefault="009D3E44">
      <w:bookmarkStart w:id="5" w:name="5"/>
      <w:bookmarkEnd w:id="5"/>
      <w:r>
        <w:t xml:space="preserve">5. </w:t>
      </w:r>
      <w:r>
        <w:rPr>
          <w:i/>
          <w:iCs/>
        </w:rPr>
        <w:t>Stoneking M.</w:t>
      </w:r>
      <w:r>
        <w:t xml:space="preserve"> // Nat. Genet. 1998. V.20. P.219—220. </w:t>
      </w:r>
    </w:p>
    <w:p w:rsidR="00000000" w:rsidRDefault="009D3E44">
      <w:bookmarkStart w:id="6" w:name="6"/>
      <w:bookmarkEnd w:id="6"/>
      <w:r>
        <w:t xml:space="preserve">6. </w:t>
      </w:r>
      <w:r>
        <w:rPr>
          <w:i/>
          <w:iCs/>
        </w:rPr>
        <w:t xml:space="preserve">Krings M., Stone A., Schmitz R.W. et al. </w:t>
      </w:r>
      <w:r>
        <w:t xml:space="preserve">// Cell. 1997. V. 90. №1. P.19—30. </w:t>
      </w:r>
    </w:p>
    <w:p w:rsidR="00000000" w:rsidRDefault="009D3E44">
      <w:bookmarkStart w:id="7" w:name="7"/>
      <w:bookmarkEnd w:id="7"/>
      <w:r>
        <w:t xml:space="preserve">7. </w:t>
      </w:r>
      <w:r>
        <w:rPr>
          <w:i/>
          <w:iCs/>
        </w:rPr>
        <w:t>Ovchinnikov I.V., Gother</w:t>
      </w:r>
      <w:r>
        <w:rPr>
          <w:i/>
          <w:iCs/>
        </w:rPr>
        <w:t xml:space="preserve">strom A., Romanova G.P. et al. </w:t>
      </w:r>
      <w:r>
        <w:t xml:space="preserve">// Nature. 2000. V.404. №6777. P.490—493. </w:t>
      </w:r>
    </w:p>
    <w:p w:rsidR="00000000" w:rsidRDefault="009D3E44">
      <w:bookmarkStart w:id="8" w:name="8"/>
      <w:bookmarkEnd w:id="8"/>
      <w:r>
        <w:t xml:space="preserve">8. </w:t>
      </w:r>
      <w:r>
        <w:rPr>
          <w:i/>
          <w:iCs/>
        </w:rPr>
        <w:t>Lahr M.M., Foley R.A.</w:t>
      </w:r>
      <w:r>
        <w:t xml:space="preserve"> // Yearbook of physical anthropology. 1998. V.41. P.137—176. </w:t>
      </w:r>
    </w:p>
    <w:p w:rsidR="00000000" w:rsidRDefault="009D3E44">
      <w:bookmarkStart w:id="9" w:name="9"/>
      <w:bookmarkEnd w:id="9"/>
      <w:r>
        <w:t xml:space="preserve">9. </w:t>
      </w:r>
      <w:r>
        <w:rPr>
          <w:i/>
          <w:iCs/>
        </w:rPr>
        <w:t xml:space="preserve">Cavalli-Sforza L.L. </w:t>
      </w:r>
      <w:r>
        <w:t xml:space="preserve">Genes, peoples, and languages. N.Y., 2000. </w:t>
      </w:r>
    </w:p>
    <w:p w:rsidR="00000000" w:rsidRDefault="009D3E44">
      <w:bookmarkStart w:id="10" w:name="10"/>
      <w:bookmarkEnd w:id="10"/>
      <w:r>
        <w:t xml:space="preserve">10. </w:t>
      </w:r>
      <w:r>
        <w:rPr>
          <w:i/>
          <w:iCs/>
        </w:rPr>
        <w:t>Richards M., Mac</w:t>
      </w:r>
      <w:r>
        <w:rPr>
          <w:i/>
          <w:iCs/>
        </w:rPr>
        <w:t>aulay V., Hickey E. et al.</w:t>
      </w:r>
      <w:r>
        <w:t xml:space="preserve"> // Am. J. Hum. Genet. 2000. V.67. P.1251—1276. </w:t>
      </w:r>
    </w:p>
    <w:p w:rsidR="00000000" w:rsidRDefault="009D3E44">
      <w:bookmarkStart w:id="11" w:name="11"/>
      <w:bookmarkEnd w:id="11"/>
      <w:r>
        <w:t xml:space="preserve">11. </w:t>
      </w:r>
      <w:r>
        <w:rPr>
          <w:i/>
          <w:iCs/>
        </w:rPr>
        <w:t xml:space="preserve">Underhill P., Cavalli-Sforza L.L., Oefner P.J. </w:t>
      </w:r>
      <w:r>
        <w:t xml:space="preserve">// Nat. Genet. 2000. V.26. P.358—361. </w:t>
      </w:r>
    </w:p>
    <w:p w:rsidR="00000000" w:rsidRDefault="009D3E44">
      <w:bookmarkStart w:id="12" w:name="12"/>
      <w:bookmarkEnd w:id="12"/>
      <w:r>
        <w:t xml:space="preserve">12. </w:t>
      </w:r>
      <w:r>
        <w:rPr>
          <w:i/>
          <w:iCs/>
        </w:rPr>
        <w:t xml:space="preserve">Orekhov V., Poltoraus A., Zhivotovsky L.A. et al. </w:t>
      </w:r>
      <w:r>
        <w:t>// FEBS Lett. 1999. V.445. №1</w:t>
      </w:r>
      <w:r>
        <w:t xml:space="preserve">. P.197—201. </w:t>
      </w:r>
    </w:p>
    <w:p w:rsidR="009D3E44" w:rsidRDefault="009D3E44">
      <w:r>
        <w:t xml:space="preserve">  </w:t>
      </w:r>
    </w:p>
    <w:sectPr w:rsidR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B1"/>
    <w:rsid w:val="009D3E44"/>
    <w:rsid w:val="00E4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A7D42C-7616-46DC-9AD0-DF1305AB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EE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ovoco.nns.ru/VV/JOURNAL/NATURE/06_01/HUMGENE.HTM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vivovoco.nns.ru/VV/JOURNAL/NATURE/06_01/HUMGENE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ivovoco.nns.ru/VV/JOURNAL/NATURE/06_01/HUMGENE.HTM" TargetMode="External"/><Relationship Id="rId7" Type="http://schemas.openxmlformats.org/officeDocument/2006/relationships/hyperlink" Target="http://vivovoco.nns.ru/VV/JOURNAL/NATURE/06_01/HUMGENE.HTM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vivovoco.nns.ru/VV/JOURNAL/NATURE/06_01/HUMGEN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vovoco.nns.ru/VV/JOURNAL/NATURE/06_01/HUMGENE.HTM" TargetMode="External"/><Relationship Id="rId20" Type="http://schemas.openxmlformats.org/officeDocument/2006/relationships/hyperlink" Target="http://vivovoco.nns.ru/VV/JOURNAL/NATURE/06_01/HUMGENE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vivovoco.nns.ru/VV/JOURNAL/NATURE/06_01/HUMGENE.HTM" TargetMode="External"/><Relationship Id="rId11" Type="http://schemas.openxmlformats.org/officeDocument/2006/relationships/hyperlink" Target="http://vivovoco.nns.ru/VV/JOURNAL/NATURE/06_01/HUMGENE.HT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vivovoco.nns.ru/VV/JOURNAL/NATURE/06_01/HUMGENE.HTM" TargetMode="External"/><Relationship Id="rId19" Type="http://schemas.openxmlformats.org/officeDocument/2006/relationships/hyperlink" Target="http://vivovoco.nns.ru/VV/JOURNAL/NATURE/06_01/HUMGENE.HTM" TargetMode="External"/><Relationship Id="rId4" Type="http://schemas.openxmlformats.org/officeDocument/2006/relationships/hyperlink" Target="http://vivovoco.nns.ru/VV/JOURNAL/NATURE/06_01/HUMGENE.HTM" TargetMode="External"/><Relationship Id="rId9" Type="http://schemas.openxmlformats.org/officeDocument/2006/relationships/hyperlink" Target="http://vivovoco.nns.ru/VV/JOURNAL/NATURE/06_01/HUMGENE.HTM" TargetMode="External"/><Relationship Id="rId14" Type="http://schemas.openxmlformats.org/officeDocument/2006/relationships/hyperlink" Target="http://vivovoco.nns.ru/VV/JOURNAL/NATURE/06_01/HUMGENE.HTM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3852</Words>
  <Characters>21958</Characters>
  <Application>Microsoft Office Word</Application>
  <DocSecurity>0</DocSecurity>
  <Lines>182</Lines>
  <Paragraphs>51</Paragraphs>
  <ScaleCrop>false</ScaleCrop>
  <Company>KM</Company>
  <LinksUpToDate>false</LinksUpToDate>
  <CharactersWithSpaces>25759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VIVOS VOCO: Н.К.Янковский, С.А.Боринская, "Наша история, записанная в ДНК"</dc:title>
  <dc:subject/>
  <dc:creator>N/A</dc:creator>
  <cp:keywords/>
  <dc:description/>
  <cp:lastModifiedBy>Igor Trofimov</cp:lastModifiedBy>
  <cp:revision>2</cp:revision>
  <dcterms:created xsi:type="dcterms:W3CDTF">2024-08-10T19:46:00Z</dcterms:created>
  <dcterms:modified xsi:type="dcterms:W3CDTF">2024-08-10T19:46:00Z</dcterms:modified>
</cp:coreProperties>
</file>