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22" w:rsidRPr="00A41822" w:rsidRDefault="00A41822" w:rsidP="00A4182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41822">
        <w:rPr>
          <w:b/>
          <w:bCs/>
          <w:sz w:val="32"/>
          <w:szCs w:val="32"/>
        </w:rPr>
        <w:t xml:space="preserve">Некоторые аспекты амбулаторной гастроэнтерологической патологии </w:t>
      </w:r>
    </w:p>
    <w:p w:rsidR="00A41822" w:rsidRPr="00A41822" w:rsidRDefault="00A41822" w:rsidP="00A41822">
      <w:pPr>
        <w:spacing w:before="120"/>
        <w:jc w:val="center"/>
        <w:rPr>
          <w:b/>
          <w:bCs/>
          <w:sz w:val="28"/>
          <w:szCs w:val="28"/>
        </w:rPr>
      </w:pPr>
      <w:r w:rsidRPr="00A41822">
        <w:rPr>
          <w:b/>
          <w:bCs/>
          <w:sz w:val="28"/>
          <w:szCs w:val="28"/>
        </w:rPr>
        <w:t xml:space="preserve">В.Стародубцов, врач-гастроэнтеролог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>Заболевания органов пищеварения относятся к числу наиболее значимых проблем в клинике внутренних болезней /3/. Эта патология занимает восьмое место среди причин временной нетрудоспособности, 7-е в структуре первичного выхода на инвалидность, пятое - среди причин смертности /1/.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Прогнозируется значительный дальнейший рост числа гастроэнтерологических заболеваний /4/. Хронический гастрит является одним из самых распространённых заболеваний желудочно-кишечного тракта и по-прежнему занимает центральное место среди болезней желудка /10/.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Частота язвенной болезни среди взрослого населения достигает 6-10% /2/. Число больных, страдающих язвенной болезнью в Российской Федерации, несмотря на обилие современных противоязвенных фармакологических средств, не уменьшается /6/.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>Широкое обсуждение проблемы диспепсии, функциональных расстройств пищеварительного тракта обусловливает повышенный интерес к данному вопросу /11/. Частота встречаемости инфекции Helicobacter pylori, c которой связан достаточно широкий ряд заболеваний органов пищеварения, различна в зависимости от географических факторов, этнической принадлежности и социально - экономических условий жизни. Она составляет от 20% до 40% в развитых странах, до 80-90% в развивающихся странах /9/.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Эрозивная патология гастродуоденальной системы является одной из актуальных проблем в современной гастроэнтерологии. Всё возрастающий интерес к эрозиям желудка и двенадцатиперстной кишки объясняется их широкой распространённостью. Частота эрозий при скрининговых эндоскопических исследованиях верхних отделов пищеварительного тракта колеблется от 4% до 20-30%. А при проведении эндоскопии по поводу диспептических жалоб эрозии гастродуоденальной слизистой оболочки обнаруживаются у 2-15% больных /5/.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>До настоящего времени не найдено чётких критериев, по которым хронические эрозии следует рассматривать в качестве осложнения основного заболевания или сопутствующего разным патологическим процессам, или самостоятельной нозологической формой. Кроме того, на сегодняшний день нет единого взгляда на этиологию и патогенез эрозивных поражений, отсутствуют адекватные подходы к лечению, динамическому наблюдению за больными и профилактике заболевания /7/. Оправдана курация больных с неосложнёнными формами язвенной болезни с применением альтернативных методов лечения, что может дать весомый экономический эффект в связи с широкой распространённостью заболевания, большой частотой "амбулаторных" язв, диаметр которых менее 10 мм (85%) /8/.Гематологические показатели у больных с эрозивными поражениями желудка и ДПК достоверно отличаются от данных контрольной группы /7/.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За три месяца 2004 года в гастроэнтерологический кабинет поликлиники №4 обратились 75 человек (пациентов с эрозивно-язвенными поражениями слизистой оболочки верхних отделов ЖКТ, впервые выявленными у 30,7%), в возрасте от 18 до 64 лет (мужчин - 36, женщин - 39).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Среди обследованных пациентов часто и длительно болеющими (ОРЗ более 4 раз в год) оказались 58 человек (77,3%), что свидетельствует о нарушениях их иммунокомпетентных клеток. У 5 человек с эрозивным бульбитом при ЭГДС были обнаружены "белые" послеязвенные рубцы на стенках луковицы 12-перстной кишки, хотя лечение язвенной болезни им до обращения за амбулаторной помощью не проводилось, а усиление болевого и диспептического синдромов произошло в последние 2-3 недели. То есть язвенный дефект не </w:t>
      </w:r>
      <w:r w:rsidRPr="003F5AA3">
        <w:lastRenderedPageBreak/>
        <w:t xml:space="preserve">вызывал у них выраженного абдоминального дискомфорта. У 69 пациентов (92%) обострение эрозивно-язвенной патологии было связано с психоэмоциональным напряжением, погрешностями в диете и употреблением алкоголя. У остальных не было выявлено убедительных этиопатогенетических факторов, спровоцировавших обострение. </w:t>
      </w:r>
    </w:p>
    <w:p w:rsidR="00A41822" w:rsidRPr="00A41822" w:rsidRDefault="00A41822" w:rsidP="00A41822">
      <w:pPr>
        <w:spacing w:before="120"/>
        <w:jc w:val="center"/>
        <w:rPr>
          <w:b/>
          <w:bCs/>
          <w:sz w:val="28"/>
          <w:szCs w:val="28"/>
        </w:rPr>
      </w:pPr>
      <w:r w:rsidRPr="00A41822">
        <w:rPr>
          <w:b/>
          <w:bCs/>
          <w:sz w:val="28"/>
          <w:szCs w:val="28"/>
        </w:rPr>
        <w:t>Выводы: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1. Хронические эрозивно-язвенные поражения гастродуоденальной зоны являются наиболее распространённым заболеванием в гастроэнтерологической практике, часто эти поражения сочетаются с патологией желчевыводящих путей, что требует комбинированной терапии всех этих состояний.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>2. Первичная и вторичная профилактика эрозивно-язвенных поражений гастродуоденальной зоны заключается прежде всего в профилактике психоэмоционального перенапряжения и рационального питания с исключением приёма спиртных напитков.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3. Показатели уровня лейкоцитов периферической крови у больных с эрозивными поражениями желудка и ДПК достоверно отличаются от данных контрольной группы (хотя, изменения не выходят за пределы физиологических колебаний, характеризующих нормальные параметры крови человека).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Следовательно, у них имеют место изменения иммунологической реактивности, которая нуждается в детальном изучении и поисках путей коррекции. </w:t>
      </w:r>
    </w:p>
    <w:p w:rsidR="00A41822" w:rsidRPr="00D64A68" w:rsidRDefault="00A41822" w:rsidP="00A41822">
      <w:pPr>
        <w:spacing w:before="120"/>
        <w:jc w:val="center"/>
        <w:rPr>
          <w:b/>
          <w:bCs/>
          <w:sz w:val="28"/>
          <w:szCs w:val="28"/>
        </w:rPr>
      </w:pPr>
      <w:r w:rsidRPr="00D64A68">
        <w:rPr>
          <w:b/>
          <w:bCs/>
          <w:sz w:val="28"/>
          <w:szCs w:val="28"/>
        </w:rPr>
        <w:t>Список литературы</w:t>
      </w:r>
    </w:p>
    <w:p w:rsidR="00A41822" w:rsidRDefault="00A41822" w:rsidP="00A41822">
      <w:pPr>
        <w:spacing w:before="120"/>
        <w:ind w:firstLine="567"/>
        <w:jc w:val="both"/>
      </w:pPr>
      <w:r w:rsidRPr="003F5AA3">
        <w:t xml:space="preserve">Для подготовки данной работы были использованы материалы с сайта </w:t>
      </w:r>
      <w:hyperlink r:id="rId4" w:history="1">
        <w:r w:rsidRPr="001C384A">
          <w:rPr>
            <w:rStyle w:val="a3"/>
          </w:rPr>
          <w:t>http://medicinform.net/</w:t>
        </w:r>
      </w:hyperlink>
    </w:p>
    <w:p w:rsidR="00A41822" w:rsidRPr="003F5AA3" w:rsidRDefault="00A41822" w:rsidP="00A41822">
      <w:pPr>
        <w:spacing w:before="120"/>
        <w:ind w:firstLine="567"/>
        <w:jc w:val="both"/>
      </w:pPr>
    </w:p>
    <w:p w:rsidR="00E12572" w:rsidRDefault="00E12572"/>
    <w:sectPr w:rsidR="00E12572" w:rsidSect="003F5AA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22"/>
    <w:rsid w:val="00051FB8"/>
    <w:rsid w:val="00095BA6"/>
    <w:rsid w:val="001C384A"/>
    <w:rsid w:val="0031418A"/>
    <w:rsid w:val="00377A3D"/>
    <w:rsid w:val="003F5AA3"/>
    <w:rsid w:val="005A2562"/>
    <w:rsid w:val="00755964"/>
    <w:rsid w:val="00A41822"/>
    <w:rsid w:val="00A44D32"/>
    <w:rsid w:val="00D64A68"/>
    <w:rsid w:val="00E12572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C8FE99-C287-41E7-BAC4-C0C15C24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Company>Home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амбулаторной гастроэнтерологической патологии</dc:title>
  <dc:subject/>
  <dc:creator>Alena</dc:creator>
  <cp:keywords/>
  <dc:description/>
  <cp:lastModifiedBy>Igor Trofimov</cp:lastModifiedBy>
  <cp:revision>2</cp:revision>
  <dcterms:created xsi:type="dcterms:W3CDTF">2024-10-06T19:49:00Z</dcterms:created>
  <dcterms:modified xsi:type="dcterms:W3CDTF">2024-10-06T19:49:00Z</dcterms:modified>
</cp:coreProperties>
</file>