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850ADB">
      <w:pPr>
        <w:pStyle w:val="a3"/>
        <w:rPr>
          <w:szCs w:val="10"/>
        </w:rPr>
      </w:pPr>
      <w:r>
        <w:rPr>
          <w:szCs w:val="10"/>
        </w:rPr>
        <w:fldChar w:fldCharType="begin"/>
      </w:r>
      <w:r>
        <w:rPr>
          <w:szCs w:val="10"/>
        </w:rPr>
        <w:instrText xml:space="preserve"> HYPERLINK "http://www.rmj.ru/index.htm" \t "_blank" </w:instrText>
      </w:r>
      <w:r>
        <w:rPr>
          <w:szCs w:val="10"/>
        </w:rPr>
        <w:fldChar w:fldCharType="separate"/>
      </w:r>
      <w:r>
        <w:rPr>
          <w:szCs w:val="10"/>
        </w:rPr>
        <w:fldChar w:fldCharType="end"/>
      </w:r>
      <w:r>
        <w:rPr>
          <w:szCs w:val="10"/>
        </w:rPr>
        <w:t xml:space="preserve">Нейросенсорная тугоухость (НТ) относится к заболеваниям, проблема диагностики и </w:t>
      </w:r>
      <w:r>
        <w:rPr>
          <w:szCs w:val="10"/>
        </w:rPr>
        <w:t>лечения которых не теряет своей актуальности в течение многих десятилетий. Широкая распространенность поражений органа с</w:t>
      </w:r>
      <w:r>
        <w:rPr>
          <w:szCs w:val="10"/>
        </w:rPr>
        <w:t xml:space="preserve">луха в современных условиях обусловлена многообразием неблагоприятных факторов, приводящих к тугоухости и глухоте. НТ относится к числу наиболее распространенных заболеваний внутреннего уха. Значительная распространенность НТ обусловлена разнообразием как </w:t>
      </w:r>
      <w:r>
        <w:rPr>
          <w:szCs w:val="10"/>
        </w:rPr>
        <w:t xml:space="preserve">эндогенных, так и экзогенных этиологических факторов, провоцирующих развитие данного заболевания. В возникновении нейросенсорной тугоухости многочисленными клиническими наблюдениями и научными исследованиями доказана роль:                                  </w:t>
      </w:r>
      <w:r>
        <w:rPr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10"/>
        </w:rPr>
        <w:t xml:space="preserve">                                          </w:t>
      </w:r>
      <w:r>
        <w:rPr>
          <w:szCs w:val="10"/>
        </w:rPr>
        <w:t>инфекционных заболеваний (грипп и ОРВИ, инфекционный паротит, корь, малярия, сифилис и др.); расстройств кровообращения в сосудах питающих внутреннее ухо и головной мозг, главным образом  в сосудах вертебробазилярной системы, а также при сердечно- сосудист</w:t>
      </w:r>
      <w:r>
        <w:rPr>
          <w:szCs w:val="10"/>
        </w:rPr>
        <w:t>ой патологии, стрессовых ситуаций, механической, акустической и баротравм; ототоксического воздействия промышленных и бытовых веществ, ряда лекарственных препаратов (антибиотики аминогликозидного ряда, некоторые противомалярийные и мочегонные средства, сал</w:t>
      </w:r>
      <w:r>
        <w:rPr>
          <w:szCs w:val="10"/>
        </w:rPr>
        <w:t xml:space="preserve">ицилаты: </w:t>
      </w:r>
      <w:r>
        <w:rPr>
          <w:i/>
          <w:iCs/>
          <w:szCs w:val="10"/>
        </w:rPr>
        <w:t>амикацин, биомицин, гентамицин, канамицин, неомицин, салицилат натрия и другие производные салициловой кислоты, спиронолактон, фуросемид, стрептомицин, тобрамицин, урсол, хинин, этакриновая кислота и др.</w:t>
      </w:r>
      <w:r>
        <w:rPr>
          <w:szCs w:val="10"/>
        </w:rPr>
        <w:t xml:space="preserve"> Довольно часто НТ возникает на фоне воспали</w:t>
      </w:r>
      <w:r>
        <w:rPr>
          <w:szCs w:val="10"/>
        </w:rPr>
        <w:t>тельных заболеваний в среднем ухе, так как имеется анатомическая связь внутреннего и среднего уха.</w:t>
      </w:r>
      <w:r>
        <w:rPr>
          <w:i/>
          <w:iCs/>
          <w:szCs w:val="10"/>
        </w:rPr>
        <w:t xml:space="preserve">                                                                                                                                                           </w:t>
      </w:r>
      <w:r>
        <w:rPr>
          <w:szCs w:val="10"/>
        </w:rPr>
        <w:t>В с</w:t>
      </w:r>
      <w:r>
        <w:rPr>
          <w:szCs w:val="10"/>
        </w:rPr>
        <w:t xml:space="preserve">лучаях так называемой </w:t>
      </w:r>
      <w:r>
        <w:rPr>
          <w:i/>
          <w:iCs/>
          <w:szCs w:val="10"/>
        </w:rPr>
        <w:t>идиопатической тугоухости</w:t>
      </w:r>
      <w:r>
        <w:rPr>
          <w:szCs w:val="10"/>
        </w:rPr>
        <w:t>, когда заболевание развивается внезапно, без видимой причины, тщательно проведенное обследование позволяет чаще всего выявить сосудистые рас стройства по типу нейроциркуляторной дистонии.</w:t>
      </w:r>
    </w:p>
    <w:p w:rsidR="00000000" w:rsidRDefault="00850ADB">
      <w:pPr>
        <w:pStyle w:val="a3"/>
        <w:rPr>
          <w:color w:val="000000"/>
        </w:rPr>
      </w:pPr>
      <w:r>
        <w:rPr>
          <w:color w:val="000000"/>
        </w:rPr>
        <w:t>Нейросенсорная тугоу</w:t>
      </w:r>
      <w:r>
        <w:rPr>
          <w:color w:val="000000"/>
        </w:rPr>
        <w:t>хость у детей в значительной степени является следствием перинатальной патологии, воздействия токсических и аллергических факторов, окружающей среды; отмечается увеличение роли вирусной и сосудистой патологии в этиологии этого заболевания. Социальная значи</w:t>
      </w:r>
      <w:r>
        <w:rPr>
          <w:color w:val="000000"/>
        </w:rPr>
        <w:t>мость проблемы обусловлена влиянием нарушений слуха у детей на их речевое развитие, формирование интеллекта и личности ребенка. Ограниченный доступ раздражителей с раннего возраста приводит к формированию депривационных изменений в центральной нервной сист</w:t>
      </w:r>
      <w:r>
        <w:rPr>
          <w:color w:val="000000"/>
        </w:rPr>
        <w:t>еме, особенно при развитии тугоухости у грудных и детей раннего возраста. Возникающая вследствие различных причин гемодинамическая гипоксия внутреннего уха сопровождается прогрессирующим падением парциального давления кислорода и снижением аэробного метабо</w:t>
      </w:r>
      <w:r>
        <w:rPr>
          <w:color w:val="000000"/>
        </w:rPr>
        <w:t>лизма с развитием энергетической недостаточности в клетках нейроэпителия кортиева органа. При этом возникают метаболические расстройства с нарушением окислительного фосфорилирования, белкового синтеза, ферментной активности. Одновременная активация и высво</w:t>
      </w:r>
      <w:r>
        <w:rPr>
          <w:color w:val="000000"/>
        </w:rPr>
        <w:t>бождение литических ферментов сопровождается гибелью различных компонентов нервных клеток.</w:t>
      </w:r>
    </w:p>
    <w:p w:rsidR="00000000" w:rsidRDefault="00850ADB">
      <w:pPr>
        <w:pStyle w:val="a3"/>
        <w:rPr>
          <w:szCs w:val="10"/>
        </w:rPr>
      </w:pPr>
    </w:p>
    <w:p w:rsidR="00000000" w:rsidRDefault="00850ADB">
      <w:pPr>
        <w:pStyle w:val="a3"/>
        <w:rPr>
          <w:szCs w:val="10"/>
        </w:rPr>
      </w:pPr>
      <w:r>
        <w:rPr>
          <w:b/>
          <w:bCs/>
          <w:i/>
          <w:iCs/>
          <w:szCs w:val="10"/>
        </w:rPr>
        <w:t xml:space="preserve">Клиническая картина: </w:t>
      </w:r>
      <w:r>
        <w:rPr>
          <w:szCs w:val="10"/>
        </w:rPr>
        <w:t>выделяют несколько вариантов НТ.</w:t>
      </w:r>
    </w:p>
    <w:p w:rsidR="00000000" w:rsidRDefault="00850ADB">
      <w:pPr>
        <w:pStyle w:val="a3"/>
        <w:numPr>
          <w:ilvl w:val="0"/>
          <w:numId w:val="3"/>
        </w:numPr>
        <w:rPr>
          <w:szCs w:val="10"/>
        </w:rPr>
      </w:pPr>
      <w:r>
        <w:rPr>
          <w:szCs w:val="10"/>
        </w:rPr>
        <w:t xml:space="preserve">Внезапная – характеризуется внезапным нарушением слуха, иногда появлением  субъективного шума (как правило, в </w:t>
      </w:r>
      <w:r>
        <w:rPr>
          <w:szCs w:val="10"/>
        </w:rPr>
        <w:t>одном ухе) в течение нескольких часов, во время сна или наступившем тотчас после пробуждения без предшечивующих симптомов.</w:t>
      </w:r>
    </w:p>
    <w:p w:rsidR="00000000" w:rsidRDefault="00850ADB">
      <w:pPr>
        <w:pStyle w:val="a3"/>
        <w:numPr>
          <w:ilvl w:val="0"/>
          <w:numId w:val="3"/>
        </w:numPr>
        <w:rPr>
          <w:szCs w:val="10"/>
        </w:rPr>
      </w:pPr>
      <w:r>
        <w:rPr>
          <w:szCs w:val="10"/>
        </w:rPr>
        <w:t xml:space="preserve">Острая – развивается постепенно в течение 3 суток. </w:t>
      </w:r>
    </w:p>
    <w:p w:rsidR="00000000" w:rsidRDefault="00850ADB">
      <w:pPr>
        <w:pStyle w:val="a3"/>
        <w:numPr>
          <w:ilvl w:val="0"/>
          <w:numId w:val="3"/>
        </w:numPr>
        <w:rPr>
          <w:szCs w:val="10"/>
        </w:rPr>
      </w:pPr>
      <w:r>
        <w:rPr>
          <w:szCs w:val="10"/>
        </w:rPr>
        <w:t>Подостарая – если развитие заболевания  продолжается более недели.</w:t>
      </w:r>
    </w:p>
    <w:p w:rsidR="00000000" w:rsidRDefault="00850ADB">
      <w:pPr>
        <w:pStyle w:val="a3"/>
        <w:numPr>
          <w:ilvl w:val="0"/>
          <w:numId w:val="3"/>
        </w:numPr>
        <w:rPr>
          <w:szCs w:val="10"/>
        </w:rPr>
      </w:pPr>
      <w:r>
        <w:rPr>
          <w:szCs w:val="10"/>
        </w:rPr>
        <w:t xml:space="preserve">Хроническая – </w:t>
      </w:r>
      <w:r>
        <w:rPr>
          <w:szCs w:val="10"/>
        </w:rPr>
        <w:t>может быть в прогрессирующей и в стабильной стадии.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lastRenderedPageBreak/>
        <w:t>Существует  несколько форм НТ:</w:t>
      </w:r>
    </w:p>
    <w:p w:rsidR="00000000" w:rsidRDefault="00850ADB">
      <w:pPr>
        <w:pStyle w:val="a3"/>
        <w:numPr>
          <w:ilvl w:val="1"/>
          <w:numId w:val="3"/>
        </w:numPr>
        <w:rPr>
          <w:szCs w:val="10"/>
        </w:rPr>
      </w:pPr>
      <w:r>
        <w:rPr>
          <w:szCs w:val="10"/>
        </w:rPr>
        <w:t>Кохлеарная – поражение в самой улитке</w:t>
      </w:r>
    </w:p>
    <w:p w:rsidR="00000000" w:rsidRDefault="00850ADB">
      <w:pPr>
        <w:pStyle w:val="a3"/>
        <w:numPr>
          <w:ilvl w:val="1"/>
          <w:numId w:val="3"/>
        </w:numPr>
        <w:rPr>
          <w:szCs w:val="10"/>
        </w:rPr>
      </w:pPr>
      <w:r>
        <w:rPr>
          <w:szCs w:val="10"/>
        </w:rPr>
        <w:t>Корешковый -  при поражении ганглия и корешка нерва</w:t>
      </w:r>
    </w:p>
    <w:p w:rsidR="00000000" w:rsidRDefault="00850ADB">
      <w:pPr>
        <w:pStyle w:val="a3"/>
        <w:numPr>
          <w:ilvl w:val="1"/>
          <w:numId w:val="3"/>
        </w:numPr>
        <w:rPr>
          <w:szCs w:val="10"/>
        </w:rPr>
      </w:pPr>
      <w:r>
        <w:rPr>
          <w:szCs w:val="10"/>
        </w:rPr>
        <w:t>Центральный – поаржение подкорковых узлов и корковых представительств слухового ана</w:t>
      </w:r>
      <w:r>
        <w:rPr>
          <w:szCs w:val="10"/>
        </w:rPr>
        <w:t>лизатора.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Различают несколько стадий тугоухости:</w:t>
      </w:r>
    </w:p>
    <w:p w:rsidR="00000000" w:rsidRDefault="00850ADB">
      <w:pPr>
        <w:pStyle w:val="a3"/>
        <w:numPr>
          <w:ilvl w:val="0"/>
          <w:numId w:val="4"/>
        </w:numPr>
        <w:rPr>
          <w:szCs w:val="10"/>
        </w:rPr>
      </w:pPr>
      <w:r>
        <w:rPr>
          <w:szCs w:val="10"/>
        </w:rPr>
        <w:t>снижение порога слуха до 40 Дб</w:t>
      </w:r>
    </w:p>
    <w:p w:rsidR="00000000" w:rsidRDefault="00850ADB">
      <w:pPr>
        <w:pStyle w:val="a3"/>
        <w:numPr>
          <w:ilvl w:val="0"/>
          <w:numId w:val="4"/>
        </w:numPr>
        <w:rPr>
          <w:szCs w:val="10"/>
        </w:rPr>
      </w:pPr>
      <w:r>
        <w:rPr>
          <w:szCs w:val="10"/>
        </w:rPr>
        <w:t>снижение порога слуха до 55 Дб</w:t>
      </w:r>
    </w:p>
    <w:p w:rsidR="00000000" w:rsidRDefault="00850ADB">
      <w:pPr>
        <w:pStyle w:val="a3"/>
        <w:numPr>
          <w:ilvl w:val="0"/>
          <w:numId w:val="4"/>
        </w:numPr>
        <w:rPr>
          <w:szCs w:val="10"/>
        </w:rPr>
      </w:pPr>
      <w:r>
        <w:rPr>
          <w:szCs w:val="10"/>
        </w:rPr>
        <w:t xml:space="preserve">снижение порога слуха до 70 Дб </w:t>
      </w:r>
    </w:p>
    <w:p w:rsidR="00000000" w:rsidRDefault="00850ADB">
      <w:pPr>
        <w:pStyle w:val="a3"/>
        <w:numPr>
          <w:ilvl w:val="0"/>
          <w:numId w:val="4"/>
        </w:numPr>
        <w:rPr>
          <w:szCs w:val="10"/>
        </w:rPr>
      </w:pPr>
      <w:r>
        <w:rPr>
          <w:szCs w:val="10"/>
        </w:rPr>
        <w:t>снижение порога слуха до 90Дб</w:t>
      </w:r>
    </w:p>
    <w:p w:rsidR="00000000" w:rsidRDefault="00850ADB">
      <w:pPr>
        <w:pStyle w:val="a3"/>
        <w:numPr>
          <w:ilvl w:val="0"/>
          <w:numId w:val="4"/>
        </w:numPr>
        <w:rPr>
          <w:szCs w:val="10"/>
        </w:rPr>
      </w:pPr>
      <w:r>
        <w:rPr>
          <w:szCs w:val="10"/>
        </w:rPr>
        <w:t>более 90Дб- глухота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Симптомы: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Больные предъявляют жалобы на снижение слуха,  состоя</w:t>
      </w:r>
      <w:r>
        <w:rPr>
          <w:szCs w:val="10"/>
        </w:rPr>
        <w:t>ние оглушенности, заложенность в ушах, шум, также может быть головокружение  при поражении вестибулярного аппарата.</w:t>
      </w:r>
    </w:p>
    <w:p w:rsidR="00000000" w:rsidRDefault="00850ADB">
      <w:pPr>
        <w:pStyle w:val="a3"/>
        <w:rPr>
          <w:szCs w:val="10"/>
        </w:rPr>
      </w:pPr>
      <w:r>
        <w:rPr>
          <w:b/>
          <w:bCs/>
          <w:i/>
          <w:iCs/>
          <w:szCs w:val="10"/>
        </w:rPr>
        <w:t xml:space="preserve">Диагностика: </w:t>
      </w:r>
      <w:r>
        <w:rPr>
          <w:szCs w:val="10"/>
        </w:rPr>
        <w:t xml:space="preserve">Современный подход к диагностике поражений органа слуха диктует необходимость проведения многопланового обследования больного, </w:t>
      </w:r>
      <w:r>
        <w:rPr>
          <w:szCs w:val="10"/>
        </w:rPr>
        <w:t xml:space="preserve">включающего исследование функции звукопроводящей и звуковоспринимающей систем, вестибулярного анализатора, изучение показателей свертывающей системы крови и функции печени, оценку состояния сердечно-сосудистой, выделительной и эндокринной систем, что дает </w:t>
      </w:r>
      <w:r>
        <w:rPr>
          <w:szCs w:val="10"/>
        </w:rPr>
        <w:t>возможность установить причину заболевания и выработать наиболее эффективную лечебную тактику. После осмотра ЛОР- органов необходимо исследовать слуховую функцию. Среди доступных методов  на первом месте- тесты, проводимые с использованием шепотной  и разг</w:t>
      </w:r>
      <w:r>
        <w:rPr>
          <w:szCs w:val="10"/>
        </w:rPr>
        <w:t>оворной живой речи, исследование с помощью камертонов  и  пороговой  тональной аудиометрии. Таким образом  устанавливается предварительный диагноз- НТ.</w:t>
      </w:r>
      <w:r>
        <w:rPr>
          <w:b/>
          <w:bCs/>
          <w:i/>
          <w:iCs/>
          <w:szCs w:val="10"/>
        </w:rPr>
        <w:t xml:space="preserve"> , </w:t>
      </w:r>
      <w:r>
        <w:rPr>
          <w:szCs w:val="10"/>
        </w:rPr>
        <w:t>а также определяется ее форма</w:t>
      </w:r>
      <w:r>
        <w:rPr>
          <w:b/>
          <w:bCs/>
          <w:i/>
          <w:iCs/>
          <w:szCs w:val="10"/>
        </w:rPr>
        <w:t>.</w:t>
      </w:r>
      <w:r>
        <w:rPr>
          <w:szCs w:val="10"/>
        </w:rPr>
        <w:t xml:space="preserve"> Дополнительным, более информативным методом, позволяющим уточнить вид т</w:t>
      </w:r>
      <w:r>
        <w:rPr>
          <w:szCs w:val="10"/>
        </w:rPr>
        <w:t>угоухости, является аудиометрия, выполненная в диапазоне частот свыше 8000 Гц. В настоящее время совершенствование методов диагностики тугоухости связано с разработкой объективных методов исследования, таких как регистрация слуховых вызванных потенциалов и</w:t>
      </w:r>
      <w:r>
        <w:rPr>
          <w:szCs w:val="10"/>
        </w:rPr>
        <w:t xml:space="preserve"> задержанной вызванной отоакустической эмиссии. Необходимо включение в план обследования больных с нейросенсорной тугоухостью импедансометрии, как метода выявления разрыва цепи слуховых косточек, наличия экссудата в барабанной полости, нарушения функции сл</w:t>
      </w:r>
      <w:r>
        <w:rPr>
          <w:szCs w:val="10"/>
        </w:rPr>
        <w:t xml:space="preserve">уховой трубы, который включает в себя две процедуры: 1. тимпанометрию, представляющую собой регистрацию импеданса барабанной перепонки под влиянием дозированного изменения внешнего  (атмосферного) давления  от максимума до минимумаи 2. регистацию рефлекса </w:t>
      </w:r>
      <w:r>
        <w:rPr>
          <w:szCs w:val="10"/>
        </w:rPr>
        <w:t>внутриушных мышц (в основном –</w:t>
      </w:r>
      <w:r>
        <w:rPr>
          <w:szCs w:val="10"/>
          <w:lang w:val="en-US"/>
        </w:rPr>
        <w:t>m</w:t>
      </w:r>
      <w:r>
        <w:rPr>
          <w:szCs w:val="10"/>
        </w:rPr>
        <w:t>.</w:t>
      </w:r>
      <w:r>
        <w:rPr>
          <w:szCs w:val="10"/>
          <w:lang w:val="en-US"/>
        </w:rPr>
        <w:t>stapedius</w:t>
      </w:r>
      <w:r>
        <w:rPr>
          <w:szCs w:val="10"/>
        </w:rPr>
        <w:t>) на звуковое раздражение барабанной перепонки. Тимпанометрия  позволяет получить подвижность тимпанно-оссикулярной  системы среднего уха и проходимость слуховой трубы. Рефлекс же  мышц среднего уха дает представлен</w:t>
      </w:r>
      <w:r>
        <w:rPr>
          <w:szCs w:val="10"/>
        </w:rPr>
        <w:t xml:space="preserve">ие о слуховой функции. </w:t>
      </w:r>
    </w:p>
    <w:p w:rsidR="00000000" w:rsidRDefault="00850ADB">
      <w:pPr>
        <w:pStyle w:val="3"/>
        <w:ind w:left="612" w:right="612"/>
        <w:rPr>
          <w:szCs w:val="10"/>
        </w:rPr>
      </w:pPr>
      <w:r>
        <w:rPr>
          <w:szCs w:val="10"/>
        </w:rPr>
        <w:t>ИССЛЕДОВАНИЕ ВОЗДУШНОЙ ПРОВОДИМОСТИ АУДИОМЕТРОМ</w:t>
      </w:r>
    </w:p>
    <w:p w:rsidR="00000000" w:rsidRDefault="00850ADB">
      <w:pPr>
        <w:pStyle w:val="a3"/>
        <w:tabs>
          <w:tab w:val="left" w:pos="9355"/>
        </w:tabs>
        <w:ind w:right="-5"/>
        <w:rPr>
          <w:szCs w:val="10"/>
        </w:rPr>
      </w:pPr>
      <w:r>
        <w:rPr>
          <w:szCs w:val="10"/>
        </w:rPr>
        <w:t>По сравнению с камертонами техническое устройство аудиометров несравненно более сложно, и для получения надежных результатов аудиометр должен работать в техническом отношении безукориз</w:t>
      </w:r>
      <w:r>
        <w:rPr>
          <w:szCs w:val="10"/>
        </w:rPr>
        <w:t xml:space="preserve">ненно. Аудиометр имеет ряд преимуществ: он позволяет легко менять в широких пределах силу и высоту звуков и точно дозировать их. Все это дает возможность </w:t>
      </w:r>
      <w:r>
        <w:rPr>
          <w:szCs w:val="10"/>
        </w:rPr>
        <w:lastRenderedPageBreak/>
        <w:t>быстро получить аудиограмму широкой полосы частот. проводимости требуется, чтобы нулевая линия шкалы а</w:t>
      </w:r>
      <w:r>
        <w:rPr>
          <w:szCs w:val="10"/>
        </w:rPr>
        <w:t>ттенюатора соответствовала пороговым интенсивностям нормального слуха. Большинство аудиометров даёт возможность исследовать слух на частоты от 100 до 10 000 гц. Испытуемый находится в тихом помещении с надетым на уши динамическим телефоном. Затем при помощ</w:t>
      </w:r>
      <w:r>
        <w:rPr>
          <w:szCs w:val="10"/>
        </w:rPr>
        <w:t>и аттенюатора усиливают звук исследуемой частоты до тех пор, пока не появится еле заметное ощущение.Для проверки данных при повторном исследовании начинают с надпороговой интенсивности и, уменьшая силу, доходят до порога. Данные записывают в виде аудиограм</w:t>
      </w:r>
      <w:r>
        <w:rPr>
          <w:szCs w:val="10"/>
        </w:rPr>
        <w:t>мы, на которой звуковые частоты отложены на оси абсцисс, а интенсивности (в децибелах) — на оси ординат. Наиболее удобным для отсчета потерь слуха больного уха является аудиограмма, в которой нормальный порог слуха, равный 0 децибел, представлен в виде пря</w:t>
      </w:r>
      <w:r>
        <w:rPr>
          <w:szCs w:val="10"/>
        </w:rPr>
        <w:t>мой линии; потери слуха в децибелах отсчитываются вниз от этой линии.</w:t>
      </w:r>
    </w:p>
    <w:p w:rsidR="00000000" w:rsidRDefault="00850ADB">
      <w:pPr>
        <w:pStyle w:val="3"/>
        <w:ind w:left="612" w:right="612"/>
        <w:rPr>
          <w:szCs w:val="10"/>
        </w:rPr>
      </w:pPr>
      <w:r>
        <w:rPr>
          <w:szCs w:val="10"/>
        </w:rPr>
        <w:t>ИССЛЕДОВАНИЕ КОСТНОЙ ПРОВОДИМОСТИ АУДИОМЕТРОМ</w:t>
      </w:r>
    </w:p>
    <w:p w:rsidR="00000000" w:rsidRDefault="00850ADB">
      <w:pPr>
        <w:pStyle w:val="a3"/>
        <w:ind w:right="-5"/>
        <w:rPr>
          <w:szCs w:val="10"/>
        </w:rPr>
      </w:pPr>
      <w:r>
        <w:rPr>
          <w:szCs w:val="10"/>
        </w:rPr>
        <w:t>Для исследования костной проводимости костный телефон приставляется либо к срединной линии черепа, либо к области сосцевидного отростка. Сле</w:t>
      </w:r>
      <w:r>
        <w:rPr>
          <w:szCs w:val="10"/>
        </w:rPr>
        <w:t>дует по возможности прижимать вибратор с одинаковой силой с таким расчетом, чтобы получить оптимальное звучание.Для исследования костной проводимости с сосцевидного отростка выбирают участок в области проекции антрума, откуда звук проводится лучше всего, н</w:t>
      </w:r>
      <w:r>
        <w:rPr>
          <w:szCs w:val="10"/>
        </w:rPr>
        <w:t xml:space="preserve">о при этом следует избегать соприкосновения телефона с ушной раковиной. Ввиду множества возможных ошибок получение правильной костной аудиограммы представляет собой сложную задачу. Первое затруднение возникает при необходимости изолированного исследования </w:t>
      </w:r>
      <w:r>
        <w:rPr>
          <w:szCs w:val="10"/>
        </w:rPr>
        <w:t>одного уха; звук костного телефона практически всегда достигает противоположного лабиринта, и в результате получается суммация эффекта. Установлено, что звук костного телефона, приставленного к одному сосцевидному отростку, проводится к противоположному ла</w:t>
      </w:r>
      <w:r>
        <w:rPr>
          <w:szCs w:val="10"/>
        </w:rPr>
        <w:t xml:space="preserve">биринту очень мало изменившимся в силе (интенсивность звука падает обычно на 5 —8 дб). Нормальные пороги костной проводимости примерно на 40 дб выше воздушных. Разница на аудиограмме между высотой кривой костной проводимости и нулевой линией соответствует </w:t>
      </w:r>
      <w:r>
        <w:rPr>
          <w:szCs w:val="10"/>
        </w:rPr>
        <w:t>данным опыта Швабаха, а сравнение воздушной и костной кривых — результатам опыта Ринне.Наконец, производится опыт с костной латерализацией (опыт Вебера). При помещении костного телефона на средней линии черепа в норме звук слышен посредине головы, не латер</w:t>
      </w:r>
      <w:r>
        <w:rPr>
          <w:szCs w:val="10"/>
        </w:rPr>
        <w:t>ализован; если имеется заболевание одного уха, звук латерализуется, т. е. он будет слышен в одном из ушей. Латерализация в здоровое или, лучше, слышащее ухо говорит, как правило, о поражении звуковоспринимающего аппарата; при нарушении звукопроведения звук</w:t>
      </w:r>
      <w:r>
        <w:rPr>
          <w:szCs w:val="10"/>
        </w:rPr>
        <w:t xml:space="preserve"> обычно латерализуется в больное ухо.</w:t>
      </w:r>
    </w:p>
    <w:p w:rsidR="00000000" w:rsidRDefault="00850ADB">
      <w:pPr>
        <w:pStyle w:val="3"/>
        <w:ind w:left="612" w:right="612"/>
        <w:rPr>
          <w:szCs w:val="10"/>
        </w:rPr>
      </w:pPr>
      <w:r>
        <w:rPr>
          <w:szCs w:val="10"/>
        </w:rPr>
        <w:t>РЕЧЕВАЯ АУДИОМЕТРИЯ</w:t>
      </w:r>
    </w:p>
    <w:p w:rsidR="00000000" w:rsidRDefault="00850ADB">
      <w:pPr>
        <w:pStyle w:val="a3"/>
        <w:ind w:right="-5"/>
        <w:rPr>
          <w:szCs w:val="10"/>
        </w:rPr>
      </w:pPr>
      <w:r>
        <w:rPr>
          <w:szCs w:val="10"/>
        </w:rPr>
        <w:t xml:space="preserve">Обычная методика исследования речью имеет ряд недостатков. Главный из них состоит в невозможности стандартизировать речь в отношении силы и качества. Речь представляет собой очень сложное сочетание </w:t>
      </w:r>
      <w:r>
        <w:rPr>
          <w:szCs w:val="10"/>
        </w:rPr>
        <w:t>быстро сменяющихся звуков различной частоты и силы. Пользование шепотной речью несколько уравнивает интенсивность звуков, но зато мы здесь сталкиваемся с новым обстоятельством: в обычной жизни (особенно тугоухому) приходится разбирать разговорную речь, кот</w:t>
      </w:r>
      <w:r>
        <w:rPr>
          <w:szCs w:val="10"/>
        </w:rPr>
        <w:t>орая в фонетическом отношении сильно отличается от шепотной. Измерение остроты речевого слуха по расстоянию также является нередко источником ошибок, так как в комнате, благодаря отражению звуков от стен, сила звука падает не пропорционально квадрату расст</w:t>
      </w:r>
      <w:r>
        <w:rPr>
          <w:szCs w:val="10"/>
        </w:rPr>
        <w:t>ояния. Наконец, при этом способе не определяется степень разборчивости, что особенно важно для речевого слуха. Принимая во внимание указанные недостатки исследования слуха разговорной и шепотной речью, новой методике речевой аудиометрии в настоящее время п</w:t>
      </w:r>
      <w:r>
        <w:rPr>
          <w:szCs w:val="10"/>
        </w:rPr>
        <w:t xml:space="preserve">ридается большое значение. Речевая аудиометрия заключается в том, что разговорная речь или отдельные слова записывают с </w:t>
      </w:r>
      <w:r>
        <w:rPr>
          <w:szCs w:val="10"/>
        </w:rPr>
        <w:lastRenderedPageBreak/>
        <w:t>помощью высококачественной звукозаписывающей аппаратуры (например, магнитофона), а затем без искажения передают на динамический телефон,</w:t>
      </w:r>
      <w:r>
        <w:rPr>
          <w:szCs w:val="10"/>
        </w:rPr>
        <w:t xml:space="preserve"> надетый на ухо испытуемого. Группы слов должны быть фонетически однородными и соответствовать словесной и ритмико-динамической структуре русского языка. Все слова при записи на магнитофон произносятся диктором одинаково громко, что контролируется при помо</w:t>
      </w:r>
      <w:r>
        <w:rPr>
          <w:szCs w:val="10"/>
        </w:rPr>
        <w:t>щи вольтметра. Каждая запись — таблица — содержит 50 слов. Сила, с которой слова передаются к уху испытуемого, регулируется при помощи аттенюатора. , При речевой аудиометрии определяются в основном три величины:</w:t>
      </w:r>
    </w:p>
    <w:p w:rsidR="00000000" w:rsidRDefault="00850ADB">
      <w:pPr>
        <w:pStyle w:val="a3"/>
        <w:ind w:right="612"/>
        <w:rPr>
          <w:szCs w:val="10"/>
        </w:rPr>
      </w:pPr>
      <w:r>
        <w:rPr>
          <w:szCs w:val="10"/>
        </w:rPr>
        <w:t xml:space="preserve">1) порог речевого слуха — та интенсивность, </w:t>
      </w:r>
      <w:r>
        <w:rPr>
          <w:szCs w:val="10"/>
        </w:rPr>
        <w:t>при которой испытуемый слышит 50% поданных слов (порог отсчитывается по оси абсцисс);</w:t>
      </w:r>
    </w:p>
    <w:p w:rsidR="00000000" w:rsidRDefault="00850ADB">
      <w:pPr>
        <w:pStyle w:val="a3"/>
        <w:ind w:right="612"/>
        <w:rPr>
          <w:szCs w:val="10"/>
        </w:rPr>
      </w:pPr>
      <w:r>
        <w:rPr>
          <w:szCs w:val="10"/>
        </w:rPr>
        <w:t>2) максимальная разборчивость (отсчитывается по оси ординат);</w:t>
      </w:r>
    </w:p>
    <w:p w:rsidR="00000000" w:rsidRDefault="00850ADB">
      <w:pPr>
        <w:pStyle w:val="a3"/>
        <w:ind w:right="-5"/>
        <w:rPr>
          <w:szCs w:val="10"/>
        </w:rPr>
      </w:pPr>
      <w:r>
        <w:rPr>
          <w:szCs w:val="10"/>
        </w:rPr>
        <w:t>3) потеря различения (дискриминация), что может быть при некоторых формах нарушения звуковосприятия, когда п</w:t>
      </w:r>
      <w:r>
        <w:rPr>
          <w:szCs w:val="10"/>
        </w:rPr>
        <w:t>ри усилении интенсивности звукового раздражителя разборчивость не достигает 100.</w:t>
      </w:r>
    </w:p>
    <w:p w:rsidR="00000000" w:rsidRDefault="00850ADB">
      <w:pPr>
        <w:pStyle w:val="a3"/>
        <w:ind w:right="-5"/>
        <w:rPr>
          <w:szCs w:val="10"/>
        </w:rPr>
      </w:pPr>
      <w:r>
        <w:rPr>
          <w:szCs w:val="10"/>
        </w:rPr>
        <w:t>Важным компонентом обследования больных нейросенсорной тугоухостью и, в известной степени, прогностическим для результата лечения является определение состояния вестибулярного</w:t>
      </w:r>
      <w:r>
        <w:rPr>
          <w:szCs w:val="10"/>
        </w:rPr>
        <w:t xml:space="preserve"> анализатора по данным отоневрологического исследования, включающего анализ спонтанной отоневрологической симптоматики, результатов </w:t>
      </w:r>
      <w:r>
        <w:rPr>
          <w:i/>
          <w:iCs/>
          <w:szCs w:val="10"/>
        </w:rPr>
        <w:t>вращательной пробы, стабилографии</w:t>
      </w:r>
      <w:r>
        <w:rPr>
          <w:szCs w:val="10"/>
        </w:rPr>
        <w:t>. Это позволяет констатировать гипо- или гиперрефлексию (ирритацию) лабиринта, по наличию д</w:t>
      </w:r>
      <w:r>
        <w:rPr>
          <w:szCs w:val="10"/>
        </w:rPr>
        <w:t xml:space="preserve">иссоциации экспериментальных вестибулярных реакций выявить заинтересованность ретролабиринтных вестибулярных структур. 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Достоверно установлено, что подавляющее большинство случаев нейросенсорной тугоухости протекает с вестибулярными нарушениями при наличии</w:t>
      </w:r>
      <w:r>
        <w:rPr>
          <w:szCs w:val="10"/>
        </w:rPr>
        <w:t xml:space="preserve"> субъективных проявлений (системного головокружения, нарушения статики и координации, тошноты или рвоты). Однако в ряде случаев нарушение вестибулярной функции выявляется лишь при проведении специфического отоневрологического обследования в сочетании с ком</w:t>
      </w:r>
      <w:r>
        <w:rPr>
          <w:szCs w:val="10"/>
        </w:rPr>
        <w:t>пьютерной томографией, магнитно-резонансной томографией, ультразвуковой допплерографией и реоэнцефалографией. Такое комплексное обследование позволяет диагностировать арахноидит мостомозжечкового угла воспалительной и травматической этиологии, установить н</w:t>
      </w:r>
      <w:r>
        <w:rPr>
          <w:szCs w:val="10"/>
        </w:rPr>
        <w:t>арушение гемодинамики в системе артерий, питающих лабиринт (в частности, вертебробазилярную дисциркуляцию на фоне шейного остеохондроза), исключить невриному VIII пары черепных нервов, как причину кохлеовестибулярных нарушений. Дифференциальная диагностика</w:t>
      </w:r>
      <w:r>
        <w:rPr>
          <w:szCs w:val="10"/>
        </w:rPr>
        <w:t xml:space="preserve"> периферического поражения внутреннего уха и сходных с ним сосудистых и воспалительных заболеваний центральной нервной системы очень важна для правильной лечебной и профилактической тактики. 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Достаточно распространенным, тягостным для больных нейросенсорно</w:t>
      </w:r>
      <w:r>
        <w:rPr>
          <w:szCs w:val="10"/>
        </w:rPr>
        <w:t xml:space="preserve">й тугоухостью симптомом является шум в ушах. Многообразие причин возникновения шума в ушах (патология звукопроводящей и звуковоспринимающей, сердечно-сосудистой систем, заболевания мышц, суставов и т.д.) требует получения достоверных данных об этиологии и </w:t>
      </w:r>
      <w:r>
        <w:rPr>
          <w:szCs w:val="10"/>
        </w:rPr>
        <w:t xml:space="preserve">патогенезе шума. К сожалению, при назначении больным с шумом в ушах курса терапии нередко трудно бывает предсказать ее клиническую эффективность. В известной степени позволяет прогнозировать эффективность лечения шума </w:t>
      </w:r>
      <w:r>
        <w:rPr>
          <w:i/>
          <w:iCs/>
          <w:szCs w:val="10"/>
        </w:rPr>
        <w:t>пальце-пальцевой тест</w:t>
      </w:r>
      <w:r>
        <w:rPr>
          <w:szCs w:val="10"/>
        </w:rPr>
        <w:t xml:space="preserve"> (ППТ): пациент с</w:t>
      </w:r>
      <w:r>
        <w:rPr>
          <w:szCs w:val="10"/>
        </w:rPr>
        <w:t xml:space="preserve">идит на стуле с наклоненной на 30 градусов вперед и вниз головой, глаза его </w:t>
      </w:r>
      <w:r>
        <w:rPr>
          <w:szCs w:val="10"/>
        </w:rPr>
        <w:lastRenderedPageBreak/>
        <w:t>закрыты. Стоящий напротив исследуемого врач плотно закрывает своими ладонями ушные раковины пациента и прижимает их к височно-сосцевидной области, располагая пальцы рук на затылочн</w:t>
      </w:r>
      <w:r>
        <w:rPr>
          <w:szCs w:val="10"/>
        </w:rPr>
        <w:t>ой области. Ногтевой фалангой среднего пальца правой руки врач производит 60 ритмичных поколачиваний по среднему пальцу левой руки. В случае уменьшения или исчезновения ушного шума (по субъективному ощущению больного) тест оценивают, как положительный и бл</w:t>
      </w:r>
      <w:r>
        <w:rPr>
          <w:szCs w:val="10"/>
        </w:rPr>
        <w:t>агоприятный в прогностическом отношении. Если же интенсивность шума не изменяется, то тест расценивают, как отрицательный, что свидетельствует о малой перспективности лечебных мероприятий. ППТ легко выполним, требует минимальной затраты времени, что делает</w:t>
      </w:r>
      <w:r>
        <w:rPr>
          <w:szCs w:val="10"/>
        </w:rPr>
        <w:t xml:space="preserve"> его безусловно полезным в практике врача. Кроме того, сам больной может использовать его в домашних условиях в тех случаях, когда шум бывает особенно дискомфортным, например, перед сном. </w:t>
      </w:r>
    </w:p>
    <w:p w:rsidR="00000000" w:rsidRDefault="00850ADB">
      <w:pPr>
        <w:pStyle w:val="a3"/>
        <w:rPr>
          <w:b/>
          <w:bCs/>
          <w:i/>
          <w:iCs/>
          <w:szCs w:val="10"/>
        </w:rPr>
      </w:pPr>
      <w:r>
        <w:rPr>
          <w:b/>
          <w:bCs/>
          <w:i/>
          <w:iCs/>
          <w:szCs w:val="10"/>
        </w:rPr>
        <w:t xml:space="preserve">Лечение 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Лечение больных нейросенсорной тугоухостью остается серьез</w:t>
      </w:r>
      <w:r>
        <w:rPr>
          <w:szCs w:val="10"/>
        </w:rPr>
        <w:t xml:space="preserve">ной проблемой. Особое внимание следует обратить на то, что до настоящего времени только максимально рано начатое лечение тугоухости при давности заболевания менее месяца можно отнести к наиболее клинически эффективным. Чем позже начато лечение, тем меньше </w:t>
      </w:r>
      <w:r>
        <w:rPr>
          <w:szCs w:val="10"/>
        </w:rPr>
        <w:t xml:space="preserve">надежды на восстановление слуха. 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Правильный подход к выбору лечебной тактики должен основываться на анализе клинических, лабораторных и инструментальных данных, полученных до начала лечения, в процессе его, а также после завершения курса лечебных мероприя</w:t>
      </w:r>
      <w:r>
        <w:rPr>
          <w:szCs w:val="10"/>
        </w:rPr>
        <w:t>тий. План лечения индивидуален для каждого больного, определяется с учетом этиологии, патогенеза и длительности заболевания, наличия сопутствующих заболеваний, интоксикации и аллергии у больного. Однако существуют общие правила, которые должны всегда соблю</w:t>
      </w:r>
      <w:r>
        <w:rPr>
          <w:szCs w:val="10"/>
        </w:rPr>
        <w:t xml:space="preserve">даться неукоснительно: </w:t>
      </w:r>
    </w:p>
    <w:p w:rsidR="00000000" w:rsidRDefault="00850ADB">
      <w:pPr>
        <w:pStyle w:val="a3"/>
        <w:numPr>
          <w:ilvl w:val="0"/>
          <w:numId w:val="5"/>
        </w:numPr>
        <w:rPr>
          <w:szCs w:val="10"/>
        </w:rPr>
      </w:pPr>
      <w:r>
        <w:rPr>
          <w:szCs w:val="10"/>
        </w:rPr>
        <w:t xml:space="preserve">проведение лечения больного острой нейросенсорной тугоухостью в специализированном оториноларингологическом стационаре; </w:t>
      </w:r>
    </w:p>
    <w:p w:rsidR="00000000" w:rsidRDefault="00850ADB">
      <w:pPr>
        <w:pStyle w:val="a3"/>
        <w:numPr>
          <w:ilvl w:val="0"/>
          <w:numId w:val="5"/>
        </w:numPr>
        <w:rPr>
          <w:szCs w:val="10"/>
        </w:rPr>
      </w:pPr>
      <w:r>
        <w:rPr>
          <w:szCs w:val="10"/>
        </w:rPr>
        <w:t xml:space="preserve">незамедлительное начало лечения непосредственно после госпитализации больного; </w:t>
      </w:r>
    </w:p>
    <w:p w:rsidR="00000000" w:rsidRDefault="00850ADB">
      <w:pPr>
        <w:pStyle w:val="a3"/>
        <w:numPr>
          <w:ilvl w:val="0"/>
          <w:numId w:val="5"/>
        </w:numPr>
        <w:rPr>
          <w:szCs w:val="10"/>
        </w:rPr>
      </w:pPr>
      <w:r>
        <w:rPr>
          <w:szCs w:val="10"/>
        </w:rPr>
        <w:t>соблюдение охранительного режим</w:t>
      </w:r>
      <w:r>
        <w:rPr>
          <w:szCs w:val="10"/>
        </w:rPr>
        <w:t xml:space="preserve">а и щадящей диеты; </w:t>
      </w:r>
    </w:p>
    <w:p w:rsidR="00000000" w:rsidRDefault="00850ADB">
      <w:pPr>
        <w:pStyle w:val="a3"/>
        <w:numPr>
          <w:ilvl w:val="0"/>
          <w:numId w:val="5"/>
        </w:numPr>
        <w:rPr>
          <w:szCs w:val="10"/>
        </w:rPr>
      </w:pPr>
      <w:r>
        <w:rPr>
          <w:szCs w:val="10"/>
        </w:rPr>
        <w:t xml:space="preserve">отказ от курения и употребления алкогольных напитков; </w:t>
      </w:r>
    </w:p>
    <w:p w:rsidR="00000000" w:rsidRDefault="00850ADB">
      <w:pPr>
        <w:pStyle w:val="a3"/>
        <w:numPr>
          <w:ilvl w:val="0"/>
          <w:numId w:val="5"/>
        </w:numPr>
        <w:rPr>
          <w:szCs w:val="10"/>
        </w:rPr>
      </w:pPr>
      <w:r>
        <w:rPr>
          <w:szCs w:val="10"/>
        </w:rPr>
        <w:t xml:space="preserve">многоплановое обследование пациента, проводимое в кратчайшие сроки. </w:t>
      </w:r>
    </w:p>
    <w:tbl>
      <w:tblPr>
        <w:tblpPr w:vertAnchor="text"/>
        <w:tblW w:w="94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8"/>
      </w:tblGrid>
      <w:tr w:rsidR="00000000">
        <w:trPr>
          <w:trHeight w:val="5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50ADB">
            <w:pPr>
              <w:pStyle w:val="3"/>
              <w:rPr>
                <w:color w:val="000000"/>
              </w:rPr>
            </w:pPr>
            <w:r>
              <w:rPr>
                <w:color w:val="000000"/>
              </w:rPr>
              <w:t>Комплексное лечение острой нейросенсорной тугоухости</w:t>
            </w:r>
          </w:p>
        </w:tc>
      </w:tr>
      <w:tr w:rsidR="00000000">
        <w:trPr>
          <w:trHeight w:val="264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50A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ГБО </w:t>
            </w:r>
          </w:p>
          <w:p w:rsidR="00000000" w:rsidRDefault="00850A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Дегидратационная терапия </w:t>
            </w:r>
          </w:p>
          <w:p w:rsidR="00000000" w:rsidRDefault="00850A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Глюкокортикоиды и препараты</w:t>
            </w:r>
            <w:r>
              <w:rPr>
                <w:color w:val="000000"/>
                <w:szCs w:val="20"/>
              </w:rPr>
              <w:t xml:space="preserve"> микроциркуляторного воздействия </w:t>
            </w:r>
          </w:p>
          <w:p w:rsidR="00000000" w:rsidRDefault="00850A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Спазмолитики </w:t>
            </w:r>
          </w:p>
          <w:p w:rsidR="00000000" w:rsidRDefault="00850A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Детоксические препараты </w:t>
            </w:r>
          </w:p>
          <w:p w:rsidR="00000000" w:rsidRDefault="00850A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Антигистаминные препараты </w:t>
            </w:r>
          </w:p>
          <w:p w:rsidR="00000000" w:rsidRDefault="00850A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Метаболиты ЦНС </w:t>
            </w:r>
          </w:p>
          <w:p w:rsidR="00000000" w:rsidRDefault="00850A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Седативные препараты </w:t>
            </w:r>
          </w:p>
          <w:p w:rsidR="00000000" w:rsidRDefault="00850A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Антихолинэстеразные средства </w:t>
            </w:r>
          </w:p>
        </w:tc>
      </w:tr>
    </w:tbl>
    <w:p w:rsidR="00000000" w:rsidRDefault="00850ADB">
      <w:pPr>
        <w:pStyle w:val="a3"/>
        <w:rPr>
          <w:szCs w:val="10"/>
        </w:rPr>
      </w:pPr>
    </w:p>
    <w:p w:rsidR="00000000" w:rsidRDefault="00850ADB">
      <w:pPr>
        <w:pStyle w:val="a3"/>
        <w:rPr>
          <w:color w:val="000000"/>
        </w:rPr>
      </w:pPr>
      <w:r>
        <w:rPr>
          <w:color w:val="000000"/>
        </w:rPr>
        <w:lastRenderedPageBreak/>
        <w:t>Основными факторами, определяющими успех слухоулучшающей терапии, являются сроки начал</w:t>
      </w:r>
      <w:r>
        <w:rPr>
          <w:color w:val="000000"/>
        </w:rPr>
        <w:t>а лечения, его полноценность и особенно использование гипербарической оксигенации (ГБО), позволяющей экстренно и надежно компенсировать кислородную задолженность в условиях нарушенного общего и регионарного кровотока. Наряду с этим важным является регуляци</w:t>
      </w:r>
      <w:r>
        <w:rPr>
          <w:color w:val="000000"/>
        </w:rPr>
        <w:t>я гемодинамики в вертебро-базиллярном бассейне и нормализация метаболического процесса во внутреннем ухе. Слухоулучшающая медикаментозная терапия проводилась с учетом проницаемости гематолабиринтного барьера и была направлена на улучшение функционального с</w:t>
      </w:r>
      <w:r>
        <w:rPr>
          <w:color w:val="000000"/>
        </w:rPr>
        <w:t>остояния рецепторных структур, нормализацию лимфоциркуляции во внутреннем ухе, улучшение тканевого и клеточного метаболизма ЦНС, снятие блока синаптической передачи препаратами антихолинэстеразного действия, активацию анаболических процессов. Принимая во в</w:t>
      </w:r>
      <w:r>
        <w:rPr>
          <w:color w:val="000000"/>
        </w:rPr>
        <w:t>нимание то обстоятельство, что основу дисфункции, дезинтеграции и дегенерации нейроэпителия кортиева органа наряду с гипоксией составляют гемодинамические нарушения в его капиллярной сети (в периневральных и межневральных сосудах и мелких сосудах стержня у</w:t>
      </w:r>
      <w:r>
        <w:rPr>
          <w:color w:val="000000"/>
        </w:rPr>
        <w:t>литки), применялись препараты и физиотерапевтические методы воздействия на микроциркуляторное русло, что являлось одним из важных патогенетических компонентов лечения.</w:t>
      </w:r>
    </w:p>
    <w:p w:rsidR="00000000" w:rsidRDefault="00850ADB">
      <w:pPr>
        <w:pStyle w:val="a3"/>
        <w:rPr>
          <w:szCs w:val="10"/>
        </w:rPr>
      </w:pPr>
      <w:r>
        <w:rPr>
          <w:color w:val="000000"/>
        </w:rPr>
        <w:t>Комплексное лечение включает средства, избирательно воздействующие на каждое звено патог</w:t>
      </w:r>
      <w:r>
        <w:rPr>
          <w:color w:val="000000"/>
        </w:rPr>
        <w:t>енеза: умеренную дегидратацию в режиме форсированного диуреза для снижения внутрилабиринтного давления, глюкокортикоиды для улучшения условий кровообращения внутреннего уха, препараты микроциркуляторного воздействия для устранения венозного застоя, спазмол</w:t>
      </w:r>
      <w:r>
        <w:rPr>
          <w:color w:val="000000"/>
        </w:rPr>
        <w:t>итики и детоксические средства, антигистаминные препараты, метаболиты центральной нервной системы, седативную терапию для снятия эмоционального напряжения, антихолинэстеразные средства для улучшения проведения импульса по нервному волокну. Применение антиг</w:t>
      </w:r>
      <w:r>
        <w:rPr>
          <w:color w:val="000000"/>
        </w:rPr>
        <w:t>ипоксантов способствовует повышению резистентности тканей к кислородному голоданию, а следовательно, снижало пагубное влияние гипоксии на нервные клетки. Широко используется унитиол как универсальное детоксическое средство после воздействия аминогликозидны</w:t>
      </w:r>
      <w:r>
        <w:rPr>
          <w:color w:val="000000"/>
        </w:rPr>
        <w:t xml:space="preserve">х антибиотиков. </w:t>
      </w:r>
      <w:r>
        <w:rPr>
          <w:szCs w:val="10"/>
        </w:rPr>
        <w:t xml:space="preserve">С учетом особенностей заболевания используются </w:t>
      </w:r>
      <w:r>
        <w:rPr>
          <w:i/>
          <w:iCs/>
          <w:szCs w:val="10"/>
        </w:rPr>
        <w:t>медикаментозные препараты,</w:t>
      </w:r>
      <w:r>
        <w:rPr>
          <w:szCs w:val="10"/>
        </w:rPr>
        <w:t xml:space="preserve"> улучшающие кровоснабжение внутреннего уха, церебральную гемодинамику и реологические свойства крови, лекарственные средства, обладающие антигипоксантной направленност</w:t>
      </w:r>
      <w:r>
        <w:rPr>
          <w:szCs w:val="10"/>
        </w:rPr>
        <w:t xml:space="preserve">ью за счет активизации биоэнергетических процессов в митохондриях и стимуляции биосинтеза макроэргических соединений. 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Многочисленные научные исследования и клинический опыт доказывают целесообразность проведения инфузионной терапии вазоактивными и антигип</w:t>
      </w:r>
      <w:r>
        <w:rPr>
          <w:szCs w:val="10"/>
        </w:rPr>
        <w:t xml:space="preserve">оксантными средствами с первого дня госпитализации пациента с острой нейросенсорной тугоухостью. Такие препараты, как </w:t>
      </w:r>
      <w:r>
        <w:rPr>
          <w:i/>
          <w:iCs/>
          <w:szCs w:val="10"/>
        </w:rPr>
        <w:t>винпоцетин, пентоксифиллин, церебролизин, пирацетам</w:t>
      </w:r>
      <w:r>
        <w:rPr>
          <w:b/>
          <w:bCs/>
          <w:i/>
          <w:iCs/>
          <w:szCs w:val="10"/>
        </w:rPr>
        <w:t xml:space="preserve">, </w:t>
      </w:r>
      <w:r>
        <w:rPr>
          <w:i/>
          <w:iCs/>
          <w:szCs w:val="10"/>
        </w:rPr>
        <w:t>кавинтон</w:t>
      </w:r>
      <w:r>
        <w:rPr>
          <w:b/>
          <w:bCs/>
          <w:i/>
          <w:iCs/>
          <w:szCs w:val="10"/>
        </w:rPr>
        <w:t xml:space="preserve"> </w:t>
      </w:r>
      <w:r>
        <w:rPr>
          <w:szCs w:val="10"/>
        </w:rPr>
        <w:t>применяют в течение первых 10 дней парентерально для внутривенного капельног</w:t>
      </w:r>
      <w:r>
        <w:rPr>
          <w:szCs w:val="10"/>
        </w:rPr>
        <w:t xml:space="preserve">о введения, постепенно увеличивая дозу препарата с 1-го по 4-й день и сохраняя постоянную лечебную дозу с 5-го по 10-й день инфузионной терапии. В последующем переходят к внутримышечному и пероральному использованию препаратов, при общей продолжительности </w:t>
      </w:r>
      <w:r>
        <w:rPr>
          <w:szCs w:val="10"/>
        </w:rPr>
        <w:t xml:space="preserve">первого курса лечения 11,5 мес. 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 xml:space="preserve">Для лечения нейросенсорной тугоухости различной этиологии, сопровождающейся головокружением, с успехом применяются </w:t>
      </w:r>
      <w:r>
        <w:rPr>
          <w:i/>
          <w:iCs/>
          <w:szCs w:val="10"/>
        </w:rPr>
        <w:t>гистаминоподобные препараты</w:t>
      </w:r>
      <w:r>
        <w:rPr>
          <w:szCs w:val="10"/>
        </w:rPr>
        <w:t>, обладающие специфическим воздействием на микроциркуляцию внутреннего уха, норма</w:t>
      </w:r>
      <w:r>
        <w:rPr>
          <w:szCs w:val="10"/>
        </w:rPr>
        <w:t xml:space="preserve">лизующие давление эндолимфы в лабиринте (например, </w:t>
      </w:r>
      <w:r>
        <w:rPr>
          <w:i/>
          <w:iCs/>
          <w:szCs w:val="10"/>
        </w:rPr>
        <w:t>бетагистин</w:t>
      </w:r>
      <w:r>
        <w:rPr>
          <w:szCs w:val="10"/>
        </w:rPr>
        <w:t>). Принимать препарат следует во время или после еды для предотвращения возможного неблагоприятного влияния на слизистую оболочку желудка, при отсутствии у пациента язвенной болезни желудка и бро</w:t>
      </w:r>
      <w:r>
        <w:rPr>
          <w:szCs w:val="10"/>
        </w:rPr>
        <w:t xml:space="preserve">нхиальной астмы. 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lastRenderedPageBreak/>
        <w:t>Пациентам с кохлеовестибулярными нарушениями, страдающими ишемической болезнью сердца, показан триметазидин. Обладая цитопротективным и антиангинальным действием, препарат при приеме внутрь обеспечивает защиту как органа слуха, так и серд</w:t>
      </w:r>
      <w:r>
        <w:rPr>
          <w:szCs w:val="10"/>
        </w:rPr>
        <w:t xml:space="preserve">ца от гипоксии и ишемии. Повышает эффективность медикаментозной терапии и стабилизирует положительную клиническую динамику включение в комплекс лечебных мероприятий немедикаментозных методов: </w:t>
      </w:r>
      <w:r>
        <w:rPr>
          <w:i/>
          <w:iCs/>
          <w:szCs w:val="10"/>
        </w:rPr>
        <w:t>рефлексотерапии акупунктуры</w:t>
      </w:r>
      <w:r>
        <w:rPr>
          <w:szCs w:val="10"/>
        </w:rPr>
        <w:t xml:space="preserve"> либо лазеропунктуры (10 сеансов непо</w:t>
      </w:r>
      <w:r>
        <w:rPr>
          <w:szCs w:val="10"/>
        </w:rPr>
        <w:t xml:space="preserve">средственно после завершения инфузионной терапии, затем 10 сеансов спустя 1 мес и, при необходимости, 10 сеансов спустя 23 мес после первого курса стационарного лечения), а также </w:t>
      </w:r>
      <w:r>
        <w:rPr>
          <w:i/>
          <w:iCs/>
          <w:szCs w:val="10"/>
        </w:rPr>
        <w:t>гипербарической оксигенации</w:t>
      </w:r>
      <w:r>
        <w:rPr>
          <w:szCs w:val="10"/>
        </w:rPr>
        <w:t xml:space="preserve"> (продолжительность сеанса 30 мин, курс лечения 10</w:t>
      </w:r>
      <w:r>
        <w:rPr>
          <w:szCs w:val="10"/>
        </w:rPr>
        <w:t xml:space="preserve"> сеансов). </w:t>
      </w:r>
      <w:r>
        <w:rPr>
          <w:i/>
          <w:iCs/>
          <w:szCs w:val="10"/>
        </w:rPr>
        <w:t>Фоноэлектрофорез</w:t>
      </w:r>
      <w:r>
        <w:rPr>
          <w:szCs w:val="10"/>
        </w:rPr>
        <w:t xml:space="preserve"> 6 через слуховой проходс помощью УЗ –датчика лекарственное средство доводится до кортиева органа. В настоящее время появилась реальная возможность оказания действенной помощи больным с полным выпадением слуховой функции в тех сл</w:t>
      </w:r>
      <w:r>
        <w:rPr>
          <w:szCs w:val="10"/>
        </w:rPr>
        <w:t xml:space="preserve">учаях, когда глухота обусловлена деструкцией спирального (кортиева) органа при сохранной функции слухового нерва. Реабилитация слуха методом </w:t>
      </w:r>
      <w:r>
        <w:rPr>
          <w:i/>
          <w:iCs/>
          <w:szCs w:val="10"/>
        </w:rPr>
        <w:t>имплантации электродов в улитку с</w:t>
      </w:r>
      <w:r>
        <w:rPr>
          <w:szCs w:val="10"/>
        </w:rPr>
        <w:t xml:space="preserve"> целью электрической стимуляции волокон слухового нерва получает все большее распр</w:t>
      </w:r>
      <w:r>
        <w:rPr>
          <w:szCs w:val="10"/>
        </w:rPr>
        <w:t>остранение как за рубежом, так и в России. Одним из важных условий проведения кохлеарной имплантации является строгий отбор кандидатов с учетом многочисленных критериев, главный из которых состояние слуховой функции, определяемое по результатам тональной п</w:t>
      </w:r>
      <w:r>
        <w:rPr>
          <w:szCs w:val="10"/>
        </w:rPr>
        <w:t xml:space="preserve">ороговой и объективной компьютерной аудиометрии, импедансометрии, промонториального теста. </w:t>
      </w:r>
    </w:p>
    <w:p w:rsidR="00000000" w:rsidRDefault="00850ADB">
      <w:pPr>
        <w:pStyle w:val="a3"/>
        <w:rPr>
          <w:i/>
          <w:iCs/>
          <w:szCs w:val="10"/>
        </w:rPr>
      </w:pPr>
      <w:r>
        <w:rPr>
          <w:i/>
          <w:iCs/>
          <w:szCs w:val="10"/>
        </w:rPr>
        <w:t>Методика трансплантации фетальных тканей человека (ТФТЧ):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Метод терапии имплантантами фетальной нервной ткани человека (ФНТЧ) заключается в введении в организм боль</w:t>
      </w:r>
      <w:r>
        <w:rPr>
          <w:szCs w:val="10"/>
        </w:rPr>
        <w:t>ного комплекса различных компонентов мозга человеческого плода (21%- ткани улитки, 19%- ткани слухового нерва, 23%- ткани височной доли КГМ плодов, 26%- ткани области мостомозжечкового угла), представляещих собой гомогенную суспензию.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Пути введения ФНТЧ:</w:t>
      </w:r>
    </w:p>
    <w:p w:rsidR="00000000" w:rsidRDefault="00850ADB">
      <w:pPr>
        <w:pStyle w:val="a3"/>
        <w:numPr>
          <w:ilvl w:val="0"/>
          <w:numId w:val="6"/>
        </w:numPr>
        <w:rPr>
          <w:szCs w:val="10"/>
        </w:rPr>
      </w:pPr>
      <w:r>
        <w:rPr>
          <w:szCs w:val="10"/>
        </w:rPr>
        <w:t>э</w:t>
      </w:r>
      <w:r>
        <w:rPr>
          <w:szCs w:val="10"/>
        </w:rPr>
        <w:t>ндоназально (поднадкостнично)</w:t>
      </w:r>
    </w:p>
    <w:p w:rsidR="00000000" w:rsidRDefault="00850ADB">
      <w:pPr>
        <w:pStyle w:val="a3"/>
        <w:numPr>
          <w:ilvl w:val="0"/>
          <w:numId w:val="6"/>
        </w:numPr>
        <w:rPr>
          <w:szCs w:val="10"/>
        </w:rPr>
      </w:pPr>
      <w:r>
        <w:rPr>
          <w:szCs w:val="10"/>
        </w:rPr>
        <w:t xml:space="preserve">меатотимпанально (в заушную область делают вкол иглой до </w:t>
      </w:r>
      <w:r>
        <w:rPr>
          <w:szCs w:val="10"/>
          <w:lang w:val="en-US"/>
        </w:rPr>
        <w:t>spina</w:t>
      </w:r>
      <w:r>
        <w:rPr>
          <w:szCs w:val="10"/>
        </w:rPr>
        <w:t xml:space="preserve"> </w:t>
      </w:r>
      <w:r>
        <w:rPr>
          <w:szCs w:val="10"/>
          <w:lang w:val="en-US"/>
        </w:rPr>
        <w:t>supra</w:t>
      </w:r>
      <w:r>
        <w:rPr>
          <w:szCs w:val="10"/>
        </w:rPr>
        <w:t xml:space="preserve"> </w:t>
      </w:r>
      <w:r>
        <w:rPr>
          <w:szCs w:val="10"/>
          <w:lang w:val="en-US"/>
        </w:rPr>
        <w:t>spinata</w:t>
      </w:r>
      <w:r>
        <w:rPr>
          <w:szCs w:val="10"/>
        </w:rPr>
        <w:t>)</w:t>
      </w:r>
    </w:p>
    <w:p w:rsidR="00000000" w:rsidRDefault="00850ADB">
      <w:pPr>
        <w:pStyle w:val="a3"/>
        <w:numPr>
          <w:ilvl w:val="0"/>
          <w:numId w:val="6"/>
        </w:numPr>
        <w:rPr>
          <w:szCs w:val="10"/>
        </w:rPr>
      </w:pPr>
      <w:r>
        <w:rPr>
          <w:szCs w:val="10"/>
        </w:rPr>
        <w:t>эндолюмбально</w:t>
      </w:r>
    </w:p>
    <w:p w:rsidR="00000000" w:rsidRDefault="00850ADB">
      <w:pPr>
        <w:pStyle w:val="a3"/>
        <w:numPr>
          <w:ilvl w:val="0"/>
          <w:numId w:val="6"/>
        </w:numPr>
        <w:rPr>
          <w:szCs w:val="10"/>
        </w:rPr>
      </w:pPr>
      <w:r>
        <w:rPr>
          <w:szCs w:val="10"/>
        </w:rPr>
        <w:t>оперативно внутрилабиринтно, последние два способа дали более высокие результаты, отметилось снижение слухового порога на 10Дб, что по</w:t>
      </w:r>
      <w:r>
        <w:rPr>
          <w:szCs w:val="10"/>
        </w:rPr>
        <w:t>зврляет говорить о достижении медицинской, социальной, а также профессиональной раебилитации.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Следует подчеркнуть, что даже адекватно подобранная и своевременно, в полном объеме проведенная терапия больного острой нейросенсорной тугоухостью не исключает ве</w:t>
      </w:r>
      <w:r>
        <w:rPr>
          <w:szCs w:val="10"/>
        </w:rPr>
        <w:t xml:space="preserve">роятности рецидива заболевания под воздействием стрессовой ситуации, обострения сердечно-сосудистой патологии (например, гипертонического криза), острой респираторной вирусной инфекции или акустической травмы. </w:t>
      </w:r>
    </w:p>
    <w:p w:rsidR="00000000" w:rsidRDefault="00850ADB">
      <w:pPr>
        <w:pStyle w:val="a3"/>
        <w:rPr>
          <w:szCs w:val="10"/>
        </w:rPr>
      </w:pPr>
      <w:r>
        <w:rPr>
          <w:szCs w:val="10"/>
        </w:rPr>
        <w:t>Поэтому врач обязан убедительно и подробно ра</w:t>
      </w:r>
      <w:r>
        <w:rPr>
          <w:szCs w:val="10"/>
        </w:rPr>
        <w:t xml:space="preserve">зъяснить больному </w:t>
      </w:r>
      <w:r>
        <w:rPr>
          <w:i/>
          <w:iCs/>
          <w:szCs w:val="10"/>
        </w:rPr>
        <w:t>необходимость соблюдения мер профилактики</w:t>
      </w:r>
      <w:r>
        <w:rPr>
          <w:szCs w:val="10"/>
        </w:rPr>
        <w:t>. Правильная организация труда и отдыха, отказ от курения, приема алкоголя и наркотиков, рационально составленная диета, достаточная двигательная активность, умение преодолевать эпизоды нервно-псих</w:t>
      </w:r>
      <w:r>
        <w:rPr>
          <w:szCs w:val="10"/>
        </w:rPr>
        <w:t xml:space="preserve">ического перенапряжения и стрессовые ситуации все это в сочетании с профилактическими и </w:t>
      </w:r>
      <w:r>
        <w:rPr>
          <w:szCs w:val="10"/>
        </w:rPr>
        <w:lastRenderedPageBreak/>
        <w:t xml:space="preserve">лечебными мероприятиями является залогом успеха в борьбе со слуховыми и вестибулярными нарушениями. </w:t>
      </w:r>
    </w:p>
    <w:p w:rsidR="00000000" w:rsidRDefault="00850ADB">
      <w:pPr>
        <w:rPr>
          <w:szCs w:val="10"/>
        </w:rPr>
      </w:pPr>
      <w:r>
        <w:rPr>
          <w:szCs w:val="10"/>
        </w:rPr>
        <w:t>Известно, что НТ развивается лишь у части лиц, подвергающихся дейст</w:t>
      </w:r>
      <w:r>
        <w:rPr>
          <w:szCs w:val="10"/>
        </w:rPr>
        <w:t xml:space="preserve">вию того или иного неблагоприятного фактора, что свидетельствует о наличии индивидуальной предрасположенности. Предрасположенность к НТ можно установить с помощью биохимических методов исследования путем выявления у нормалььно слышащих лиц дефектов обмена </w:t>
      </w:r>
      <w:r>
        <w:rPr>
          <w:szCs w:val="10"/>
        </w:rPr>
        <w:t>веществ, способствующих возникновению нарушений слуховой функции. Так, проведенное комплексное исследование больных НТ показало, что нарушение слуха у них  происходит, как правило, на фоне глубокого дефицита углеводсодержащих белков – пониженного содержани</w:t>
      </w:r>
      <w:r>
        <w:rPr>
          <w:szCs w:val="10"/>
        </w:rPr>
        <w:t>я в сыворотке крови гамма2- глобулинов (менее 4,0 г\л) либо церулоплазмина (менее 1,46 мкмоль\л), либо повышенного почечного выделения гликозаминогликанов ( более 51,5 мкмоль\сутки).</w:t>
      </w:r>
    </w:p>
    <w:p w:rsidR="00000000" w:rsidRDefault="00850ADB">
      <w:pPr>
        <w:rPr>
          <w:szCs w:val="10"/>
        </w:rPr>
      </w:pPr>
    </w:p>
    <w:p w:rsidR="00000000" w:rsidRDefault="00850ADB">
      <w:pPr>
        <w:rPr>
          <w:szCs w:val="10"/>
        </w:rPr>
      </w:pPr>
      <w:r>
        <w:rPr>
          <w:szCs w:val="10"/>
        </w:rPr>
        <w:t>НОРМА:</w:t>
      </w:r>
    </w:p>
    <w:p w:rsidR="00000000" w:rsidRDefault="00850ADB">
      <w:pPr>
        <w:rPr>
          <w:szCs w:val="10"/>
        </w:rPr>
      </w:pPr>
      <w:r>
        <w:rPr>
          <w:szCs w:val="10"/>
        </w:rPr>
        <w:t>гамма2- глобулинов 4,0 – 7,0 г\л</w:t>
      </w:r>
    </w:p>
    <w:p w:rsidR="00000000" w:rsidRDefault="00850ADB">
      <w:pPr>
        <w:rPr>
          <w:szCs w:val="10"/>
        </w:rPr>
      </w:pPr>
      <w:r>
        <w:rPr>
          <w:szCs w:val="10"/>
        </w:rPr>
        <w:t>церулоплазмина 1,85 – 2,52 мкмол</w:t>
      </w:r>
      <w:r>
        <w:rPr>
          <w:szCs w:val="10"/>
        </w:rPr>
        <w:t>ь\л</w:t>
      </w:r>
    </w:p>
    <w:p w:rsidR="00000000" w:rsidRDefault="00850ADB">
      <w:pPr>
        <w:rPr>
          <w:szCs w:val="10"/>
        </w:rPr>
      </w:pPr>
      <w:r>
        <w:rPr>
          <w:szCs w:val="10"/>
        </w:rPr>
        <w:t>гликозаминогликанов 7,7 – 47,9 мкмоль\сутки</w:t>
      </w:r>
    </w:p>
    <w:p w:rsidR="00000000" w:rsidRDefault="00850ADB">
      <w:pPr>
        <w:rPr>
          <w:szCs w:val="10"/>
        </w:rPr>
      </w:pPr>
    </w:p>
    <w:p w:rsidR="00000000" w:rsidRDefault="00850ADB">
      <w:pPr>
        <w:rPr>
          <w:szCs w:val="10"/>
        </w:rPr>
      </w:pPr>
      <w:r>
        <w:rPr>
          <w:szCs w:val="10"/>
        </w:rPr>
        <w:t>Таким образом, имеющими предрасположенность к НТ следует считать лиц, у которых содержание гамма2- глобулинов менее 4,0 г\л либо церулоплазмина менее 1,46 мкмоль\л, либо повышенного почечного выделения глико</w:t>
      </w:r>
      <w:r>
        <w:rPr>
          <w:szCs w:val="10"/>
        </w:rPr>
        <w:t>заминогликанов  более 51,5 мкмоль\сутки.</w:t>
      </w:r>
    </w:p>
    <w:p w:rsidR="00000000" w:rsidRDefault="00850ADB">
      <w:pPr>
        <w:rPr>
          <w:szCs w:val="10"/>
        </w:rPr>
      </w:pPr>
    </w:p>
    <w:p w:rsidR="00000000" w:rsidRDefault="00850ADB">
      <w:pPr>
        <w:rPr>
          <w:szCs w:val="10"/>
        </w:rPr>
      </w:pPr>
      <w:r>
        <w:rPr>
          <w:szCs w:val="10"/>
        </w:rPr>
        <w:t>Биохимическое обследование рекомендуется проводить в  следующих случаях:</w:t>
      </w:r>
    </w:p>
    <w:p w:rsidR="00000000" w:rsidRDefault="00850ADB">
      <w:pPr>
        <w:numPr>
          <w:ilvl w:val="0"/>
          <w:numId w:val="8"/>
        </w:numPr>
        <w:rPr>
          <w:szCs w:val="10"/>
        </w:rPr>
      </w:pPr>
      <w:r>
        <w:rPr>
          <w:szCs w:val="10"/>
        </w:rPr>
        <w:t>при приеме на работу, связанную с воздействием на организм факторов, обладающих выраженным повреждающим действием на орган слуха, таких как ш</w:t>
      </w:r>
      <w:r>
        <w:rPr>
          <w:szCs w:val="10"/>
        </w:rPr>
        <w:t>ум, длительное контактирование со свинцом, ртутью, марганцем, анилином или их производными.</w:t>
      </w:r>
    </w:p>
    <w:p w:rsidR="00000000" w:rsidRDefault="00850ADB">
      <w:pPr>
        <w:numPr>
          <w:ilvl w:val="0"/>
          <w:numId w:val="8"/>
        </w:numPr>
        <w:rPr>
          <w:szCs w:val="10"/>
        </w:rPr>
      </w:pPr>
      <w:r>
        <w:rPr>
          <w:szCs w:val="10"/>
        </w:rPr>
        <w:t>при выборе медикаментозных препаратов для лечения больных</w:t>
      </w:r>
    </w:p>
    <w:p w:rsidR="00000000" w:rsidRDefault="00850ADB">
      <w:pPr>
        <w:rPr>
          <w:szCs w:val="10"/>
        </w:rPr>
      </w:pPr>
    </w:p>
    <w:p w:rsidR="00000000" w:rsidRDefault="00850ADB">
      <w:pPr>
        <w:rPr>
          <w:szCs w:val="10"/>
        </w:rPr>
      </w:pPr>
    </w:p>
    <w:p w:rsidR="00000000" w:rsidRDefault="00850ADB">
      <w:pPr>
        <w:rPr>
          <w:szCs w:val="10"/>
        </w:rPr>
      </w:pPr>
    </w:p>
    <w:p w:rsidR="00000000" w:rsidRDefault="00850ADB">
      <w:pPr>
        <w:rPr>
          <w:i/>
          <w:iCs/>
          <w:sz w:val="28"/>
        </w:rPr>
      </w:pPr>
      <w:r>
        <w:rPr>
          <w:i/>
          <w:iCs/>
          <w:sz w:val="28"/>
        </w:rPr>
        <w:t>СПИСОК ЛИТЕРАТУРЫ:</w:t>
      </w:r>
    </w:p>
    <w:p w:rsidR="00000000" w:rsidRDefault="00850ADB">
      <w:pPr>
        <w:numPr>
          <w:ilvl w:val="0"/>
          <w:numId w:val="9"/>
        </w:numPr>
      </w:pPr>
      <w:r>
        <w:t>Оториноларингология Пальчун В.Т., 1997 год</w:t>
      </w:r>
    </w:p>
    <w:p w:rsidR="00000000" w:rsidRDefault="00850ADB">
      <w:pPr>
        <w:numPr>
          <w:ilvl w:val="0"/>
          <w:numId w:val="9"/>
        </w:numPr>
      </w:pPr>
      <w:r>
        <w:t>Лекции по оториноларингологии Солдатов И.</w:t>
      </w:r>
      <w:r>
        <w:t>Б.,1990 год</w:t>
      </w:r>
    </w:p>
    <w:p w:rsidR="00000000" w:rsidRDefault="00850ADB">
      <w:pPr>
        <w:numPr>
          <w:ilvl w:val="0"/>
          <w:numId w:val="9"/>
        </w:numPr>
      </w:pPr>
      <w:r>
        <w:t>Руссский Медицинский журнал</w:t>
      </w:r>
    </w:p>
    <w:p w:rsidR="00000000" w:rsidRDefault="00850ADB">
      <w:pPr>
        <w:numPr>
          <w:ilvl w:val="0"/>
          <w:numId w:val="9"/>
        </w:numPr>
      </w:pPr>
      <w:r>
        <w:t>Вестник Оториноларингологии</w:t>
      </w:r>
    </w:p>
    <w:p w:rsidR="00000000" w:rsidRDefault="00850ADB">
      <w:pPr>
        <w:numPr>
          <w:ilvl w:val="0"/>
          <w:numId w:val="9"/>
        </w:numPr>
      </w:pPr>
      <w:r>
        <w:t>Информационное письмо, 1990 год</w:t>
      </w:r>
    </w:p>
    <w:p w:rsidR="00000000" w:rsidRDefault="00850ADB">
      <w:pPr>
        <w:numPr>
          <w:ilvl w:val="0"/>
          <w:numId w:val="9"/>
        </w:numPr>
      </w:pPr>
      <w:r>
        <w:t xml:space="preserve">Ресурсы </w:t>
      </w:r>
      <w:r>
        <w:rPr>
          <w:lang w:val="en-US"/>
        </w:rPr>
        <w:t>Internet</w:t>
      </w:r>
    </w:p>
    <w:p w:rsidR="00000000" w:rsidRDefault="00850ADB">
      <w:pPr>
        <w:rPr>
          <w:sz w:val="10"/>
        </w:rPr>
      </w:pPr>
    </w:p>
    <w:p w:rsidR="00000000" w:rsidRDefault="00850ADB">
      <w:pPr>
        <w:rPr>
          <w:sz w:val="10"/>
        </w:rPr>
      </w:pPr>
    </w:p>
    <w:p w:rsidR="00000000" w:rsidRDefault="00850ADB">
      <w:pPr>
        <w:rPr>
          <w:sz w:val="10"/>
        </w:rPr>
      </w:pPr>
    </w:p>
    <w:p w:rsidR="00000000" w:rsidRDefault="00850ADB">
      <w:pPr>
        <w:tabs>
          <w:tab w:val="num" w:pos="720"/>
        </w:tabs>
        <w:ind w:left="360"/>
        <w:rPr>
          <w:rFonts w:ascii="Verdana" w:hAnsi="Verdana"/>
          <w:color w:val="000000"/>
          <w:sz w:val="20"/>
          <w:szCs w:val="20"/>
        </w:rPr>
      </w:pPr>
    </w:p>
    <w:p w:rsidR="00000000" w:rsidRDefault="00850ADB">
      <w:pPr>
        <w:tabs>
          <w:tab w:val="num" w:pos="720"/>
        </w:tabs>
        <w:ind w:left="360"/>
        <w:rPr>
          <w:rFonts w:ascii="Verdana" w:hAnsi="Verdana"/>
          <w:color w:val="000000"/>
          <w:sz w:val="20"/>
          <w:szCs w:val="20"/>
        </w:rPr>
      </w:pPr>
    </w:p>
    <w:p w:rsidR="00850ADB" w:rsidRDefault="00850ADB">
      <w:pPr>
        <w:tabs>
          <w:tab w:val="num" w:pos="720"/>
        </w:tabs>
        <w:rPr>
          <w:sz w:val="10"/>
        </w:rPr>
      </w:pPr>
    </w:p>
    <w:sectPr w:rsidR="0085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00E2"/>
    <w:multiLevelType w:val="hybridMultilevel"/>
    <w:tmpl w:val="2ABA8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053"/>
    <w:multiLevelType w:val="hybridMultilevel"/>
    <w:tmpl w:val="6BCE1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81C97"/>
    <w:multiLevelType w:val="hybridMultilevel"/>
    <w:tmpl w:val="255EED48"/>
    <w:lvl w:ilvl="0" w:tplc="0419000F">
      <w:start w:val="1"/>
      <w:numFmt w:val="decimal"/>
      <w:lvlText w:val="%1."/>
      <w:lvlJc w:val="left"/>
      <w:pPr>
        <w:tabs>
          <w:tab w:val="num" w:pos="15549"/>
        </w:tabs>
        <w:ind w:left="155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69"/>
        </w:tabs>
        <w:ind w:left="16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89"/>
        </w:tabs>
        <w:ind w:left="16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9"/>
        </w:tabs>
        <w:ind w:left="17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429"/>
        </w:tabs>
        <w:ind w:left="18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149"/>
        </w:tabs>
        <w:ind w:left="19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9869"/>
        </w:tabs>
        <w:ind w:left="19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0589"/>
        </w:tabs>
        <w:ind w:left="20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309"/>
        </w:tabs>
        <w:ind w:left="21309" w:hanging="180"/>
      </w:pPr>
    </w:lvl>
  </w:abstractNum>
  <w:abstractNum w:abstractNumId="3" w15:restartNumberingAfterBreak="0">
    <w:nsid w:val="0DCB55D4"/>
    <w:multiLevelType w:val="hybridMultilevel"/>
    <w:tmpl w:val="FE70A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39C9"/>
    <w:multiLevelType w:val="hybridMultilevel"/>
    <w:tmpl w:val="2524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E66E1"/>
    <w:multiLevelType w:val="hybridMultilevel"/>
    <w:tmpl w:val="4204E434"/>
    <w:lvl w:ilvl="0" w:tplc="0419000F">
      <w:start w:val="1"/>
      <w:numFmt w:val="decimal"/>
      <w:lvlText w:val="%1."/>
      <w:lvlJc w:val="left"/>
      <w:pPr>
        <w:tabs>
          <w:tab w:val="num" w:pos="15549"/>
        </w:tabs>
        <w:ind w:left="155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69"/>
        </w:tabs>
        <w:ind w:left="16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89"/>
        </w:tabs>
        <w:ind w:left="16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9"/>
        </w:tabs>
        <w:ind w:left="17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429"/>
        </w:tabs>
        <w:ind w:left="18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149"/>
        </w:tabs>
        <w:ind w:left="19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9869"/>
        </w:tabs>
        <w:ind w:left="19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0589"/>
        </w:tabs>
        <w:ind w:left="20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309"/>
        </w:tabs>
        <w:ind w:left="21309" w:hanging="180"/>
      </w:pPr>
    </w:lvl>
  </w:abstractNum>
  <w:abstractNum w:abstractNumId="6" w15:restartNumberingAfterBreak="0">
    <w:nsid w:val="3DD311E5"/>
    <w:multiLevelType w:val="hybridMultilevel"/>
    <w:tmpl w:val="4044D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EA6FDF"/>
    <w:multiLevelType w:val="hybridMultilevel"/>
    <w:tmpl w:val="F9B423B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92D5AAC"/>
    <w:multiLevelType w:val="hybridMultilevel"/>
    <w:tmpl w:val="A54CFB46"/>
    <w:lvl w:ilvl="0" w:tplc="4FCC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6E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6AA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C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89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60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0C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A0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2C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46"/>
    <w:rsid w:val="007E5346"/>
    <w:rsid w:val="008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4A71C-3A40-46BE-AFB8-7EDF122A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jc w:val="center"/>
      <w:outlineLvl w:val="2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Нейросенсорная тугоухость относится к заболеваниям, проблема диагностики и лечения которых не теряет своей актуальности в тече</vt:lpstr>
    </vt:vector>
  </TitlesOfParts>
  <Company/>
  <LinksUpToDate>false</LinksUpToDate>
  <CharactersWithSpaces>24948</CharactersWithSpaces>
  <SharedDoc>false</SharedDoc>
  <HLinks>
    <vt:vector size="6" baseType="variant">
      <vt:variant>
        <vt:i4>4128891</vt:i4>
      </vt:variant>
      <vt:variant>
        <vt:i4>0</vt:i4>
      </vt:variant>
      <vt:variant>
        <vt:i4>0</vt:i4>
      </vt:variant>
      <vt:variant>
        <vt:i4>5</vt:i4>
      </vt:variant>
      <vt:variant>
        <vt:lpwstr>http://www.rmj.ru/index.htm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Нейросенсорная тугоухость относится к заболеваниям, проблема диагностики и лечения которых не теряет своей актуальности в тече</dc:title>
  <dc:subject/>
  <dc:creator>Юлия</dc:creator>
  <cp:keywords/>
  <dc:description/>
  <cp:lastModifiedBy>Тест</cp:lastModifiedBy>
  <cp:revision>3</cp:revision>
  <dcterms:created xsi:type="dcterms:W3CDTF">2024-04-13T05:39:00Z</dcterms:created>
  <dcterms:modified xsi:type="dcterms:W3CDTF">2024-04-13T05:39:00Z</dcterms:modified>
</cp:coreProperties>
</file>