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416C" w:rsidRPr="009A490A" w:rsidRDefault="000A416C" w:rsidP="000A416C">
      <w:pPr>
        <w:spacing w:before="120"/>
        <w:jc w:val="center"/>
        <w:rPr>
          <w:b/>
          <w:bCs/>
          <w:sz w:val="32"/>
          <w:szCs w:val="32"/>
        </w:rPr>
      </w:pPr>
      <w:r w:rsidRPr="009A490A">
        <w:rPr>
          <w:b/>
          <w:bCs/>
          <w:sz w:val="32"/>
          <w:szCs w:val="32"/>
        </w:rPr>
        <w:t>NMDA-рецепторы</w:t>
      </w:r>
    </w:p>
    <w:p w:rsidR="000A416C" w:rsidRPr="00253221" w:rsidRDefault="000A416C" w:rsidP="000A416C">
      <w:pPr>
        <w:spacing w:before="120"/>
        <w:ind w:firstLine="567"/>
        <w:jc w:val="both"/>
      </w:pPr>
      <w:r w:rsidRPr="00253221">
        <w:t>Наиболее изученными из ионотропных рецепторов глутамат являются NMDA-рецепторы. Им отводится особая роль в регуляции нейрональной возбудимости, синаптической пластичности (</w:t>
      </w:r>
      <w:r w:rsidRPr="009A490A">
        <w:t>Cotman C.W. еt al., 1987</w:t>
      </w:r>
      <w:r w:rsidRPr="00253221">
        <w:t>), а также в патогенезе эпилепсии и судорог (</w:t>
      </w:r>
      <w:r w:rsidRPr="009A490A">
        <w:t>Chapman A.G. 1998</w:t>
      </w:r>
      <w:r w:rsidRPr="00253221">
        <w:t xml:space="preserve">; </w:t>
      </w:r>
      <w:r w:rsidRPr="009A490A">
        <w:t>Bradford H.F. 1995</w:t>
      </w:r>
      <w:r w:rsidRPr="00253221">
        <w:t xml:space="preserve">; </w:t>
      </w:r>
      <w:r w:rsidRPr="009A490A">
        <w:t>Dingledine R. et al., 1990</w:t>
      </w:r>
      <w:r w:rsidRPr="00253221">
        <w:t>).</w:t>
      </w:r>
    </w:p>
    <w:p w:rsidR="000A416C" w:rsidRPr="00253221" w:rsidRDefault="000A416C" w:rsidP="000A416C">
      <w:pPr>
        <w:spacing w:before="120"/>
        <w:ind w:firstLine="567"/>
        <w:jc w:val="both"/>
      </w:pPr>
      <w:r w:rsidRPr="00253221">
        <w:t>NMDA-рецепторы представляют собой тетрамерный комплекс, формируемый комбинацией двух субъединиц: NR1 и NR2 (Laube B. et al., 1998). Каждая из субъединиц NMDA-рецептора представлена рядом изоформ, возникающих в результате альтеранивного сплайсинга. Различные их комбинации формируют рецепторы, различающиеся по фармакологическому профилю, чувствительности к Mg2+ и свойствам каналов (</w:t>
      </w:r>
      <w:r w:rsidRPr="009A490A">
        <w:t>Sucher N.J. et al., 1996</w:t>
      </w:r>
      <w:r w:rsidRPr="00253221">
        <w:t>).</w:t>
      </w:r>
    </w:p>
    <w:p w:rsidR="000A416C" w:rsidRPr="00253221" w:rsidRDefault="000A416C" w:rsidP="000A416C">
      <w:pPr>
        <w:spacing w:before="120"/>
        <w:ind w:firstLine="567"/>
        <w:jc w:val="both"/>
      </w:pPr>
      <w:r w:rsidRPr="00253221">
        <w:t>Ионный канал, образованный субъединицами, высоко проницаем для K+, Na+, Ca2+ (</w:t>
      </w:r>
      <w:r w:rsidRPr="009A490A">
        <w:t>McBain C.J., Mayer M.L., 1994</w:t>
      </w:r>
      <w:r w:rsidRPr="00253221">
        <w:t>) и заблокирован ионом Mg2+ потенциалзависимым способом (</w:t>
      </w:r>
      <w:r w:rsidRPr="009A490A">
        <w:t>Nowak L. et al., 1984</w:t>
      </w:r>
      <w:r w:rsidRPr="00253221">
        <w:t>). Деполяризация постсинаптической мембраны (от -50 до -30 мВ), вызванная активацией других глутаматных ионотропных рецепторов, устраняет «магниевый блок» и приводит к открытию канала. Ионофор NMDA-рецепторов является участком связывания так называемых «канальных» блокаторов (фенциклидина, кетамина, мемантина, МК-801) (</w:t>
      </w:r>
      <w:r w:rsidRPr="009A490A">
        <w:t>Dingledine R. et al., 1999</w:t>
      </w:r>
      <w:r w:rsidRPr="00253221">
        <w:t xml:space="preserve">; </w:t>
      </w:r>
      <w:r w:rsidRPr="009A490A">
        <w:t>McBain C.J., Mayer M.L., 1994</w:t>
      </w:r>
      <w:r w:rsidRPr="00253221">
        <w:t>).</w:t>
      </w:r>
    </w:p>
    <w:p w:rsidR="000A416C" w:rsidRPr="00253221" w:rsidRDefault="000A416C" w:rsidP="000A416C">
      <w:pPr>
        <w:spacing w:before="120"/>
        <w:ind w:firstLine="567"/>
        <w:jc w:val="both"/>
      </w:pPr>
      <w:r w:rsidRPr="00253221">
        <w:t>Применение радиолигандного анализа показало наибольшую плотность NMDA-рецепторов в конечном мозге, прежде всего в гиппокампе, коре больших полушарий, миндалине и стриатуме (</w:t>
      </w:r>
      <w:r w:rsidRPr="009A490A">
        <w:t>Maragos W.F. et al., 1988</w:t>
      </w:r>
      <w:r w:rsidRPr="00253221">
        <w:t xml:space="preserve">; </w:t>
      </w:r>
      <w:r w:rsidRPr="009A490A">
        <w:t>Monaghan D.T., Cotman C.W., 1985</w:t>
      </w:r>
      <w:r w:rsidRPr="00253221">
        <w:t>). Следует отметить, что именно эти структуры прежде всего ответственны за память и обучение в традиционном понимании этих слов и ассоциированы с сенсорной функцией, осуществление которой требует повышенного ресурса синаптической пластичности (</w:t>
      </w:r>
      <w:r w:rsidRPr="009A490A">
        <w:t>Беспалов А.Ю., Звартау Э.Э., 2000</w:t>
      </w:r>
      <w:r w:rsidRPr="00253221">
        <w:t xml:space="preserve">). Представляет также интерес то, что указанные структуры обладают низким порогом эпилептизации и высокой степенью возбудимости. </w:t>
      </w:r>
    </w:p>
    <w:p w:rsidR="000A416C" w:rsidRPr="00253221" w:rsidRDefault="000A416C" w:rsidP="000A416C">
      <w:pPr>
        <w:spacing w:before="120"/>
        <w:ind w:firstLine="567"/>
        <w:jc w:val="both"/>
      </w:pPr>
      <w:r w:rsidRPr="00253221">
        <w:t>Во всех слоях гиппокампа выявлен высокий уровень NMDA-рецепторов, за исключением тел нейронов пирамидного и гранулярного слоев, а также striatum lucidum (терминальная зона мшистых волокон гиппокампа). Среди кортикальных областей ассоциативные зоны коры часто имеют большую плотность рецепторов, чем проекционные зоны. Фронтальная, инсулярная, пириформная, периринальная и передняя поясная кора также содержат больше количество рецепторов в отличие от височной, затылочной, париетальной и задней поясной участков коры. Гранулярные корковые области имеют выраженную ламинарность распределения NMDA-рецепторов. Так, во внешних слоях I-III и слое Vа париетальной коры показана бoльшая плотность рецепторов, чем</w:t>
      </w:r>
      <w:r>
        <w:t xml:space="preserve"> </w:t>
      </w:r>
      <w:r w:rsidRPr="00253221">
        <w:t xml:space="preserve">в других корковых слоях. </w:t>
      </w:r>
    </w:p>
    <w:p w:rsidR="000A416C" w:rsidRPr="00253221" w:rsidRDefault="000A416C" w:rsidP="000A416C">
      <w:pPr>
        <w:spacing w:before="120"/>
        <w:ind w:firstLine="567"/>
        <w:jc w:val="both"/>
      </w:pPr>
      <w:r w:rsidRPr="00253221">
        <w:t>NMDA-рецепторы опосредуют возбуждающее действие глутамата, однако, оно не распространяется на все виды активации нейрона. Они не участвуют в возникновении быстрого и кратковременного возбуждения, с которым связаны физиологические реакции (например, защитный рефлекс одергивания и др.). Быстрые возбуждающие постсинаптические потенциалы, характерные для подобных реакций, формируются при участии ионотропных не-NMDA-рецепторов. Роль же NMDA-рецепторов велика в патологии нейронов, их гиперактивации и эпилептизации, так как обеспечивают усиленную и длительную активацию нейронов. Показано, что селективный антагонист NMDA-рецепторов – амино-5-фосфовалериановая кислота – предупреждает и ослабляет гиперактивацию нейронов и судорожные реакции, но существенно не влияет на физиологические двигательные реакции (</w:t>
      </w:r>
      <w:r w:rsidRPr="009A490A">
        <w:t>Крыжановский Г.Н., 1997</w:t>
      </w:r>
      <w:r w:rsidRPr="00253221">
        <w:t xml:space="preserve">). </w:t>
      </w:r>
    </w:p>
    <w:p w:rsidR="000A416C" w:rsidRPr="00253221" w:rsidRDefault="000A416C" w:rsidP="000A416C">
      <w:pPr>
        <w:spacing w:before="120"/>
        <w:ind w:firstLine="567"/>
        <w:jc w:val="both"/>
      </w:pPr>
      <w:r w:rsidRPr="00253221">
        <w:lastRenderedPageBreak/>
        <w:t>В физиологических условиях NMDA-рецепторы активируются миллимолярными концентрациями глутамата, который присутствует в синаптической щели в течение нескольких миллисекунд (</w:t>
      </w:r>
      <w:r w:rsidRPr="009A490A">
        <w:t>Clements J.D. et al., 1992</w:t>
      </w:r>
      <w:r w:rsidRPr="00253221">
        <w:t>). При патологической импульсации рецепторы активируются микромолярными концентрациями, но в течение значительно большего времени (</w:t>
      </w:r>
      <w:r w:rsidRPr="009A490A">
        <w:t>Globus M.Y. et al., 1988</w:t>
      </w:r>
      <w:r w:rsidRPr="00253221">
        <w:t>).</w:t>
      </w:r>
      <w:r>
        <w:t xml:space="preserve"> </w:t>
      </w:r>
      <w:r w:rsidRPr="00253221">
        <w:t>В результате этого происходит увеличение концентрации Са2+ в клетках и накопление ионов К+ во внеклеточном пространстве. "Кальциевая перегрузка" нейронов и активация Са2+-зависимых процессов (повышение активности протеаз, киназ, эндонуклеаз, липооксигеназ, фосфолипазы А2 и др. ферментов) ведет к значительным изменениям в метаболизме и генетическом аппарате клетки, неконтролируемому действию свободных радикалов и может привести к необратимой клеточной гибели (</w:t>
      </w:r>
      <w:r w:rsidRPr="009A490A">
        <w:t>Choi D.W., 1985</w:t>
      </w:r>
      <w:r w:rsidRPr="00253221">
        <w:t>). В настоящее время считается, что поступление ионов Са2+ внутрь клетки через каналы NMDA-рецепторов является ключевым событием в реализации токсических эффектов глутамата (</w:t>
      </w:r>
      <w:r w:rsidRPr="009A490A">
        <w:t>Bading H. et al., 1993</w:t>
      </w:r>
      <w:r w:rsidRPr="00253221">
        <w:t>). Так, установлено, что эквивалентный подъем внутриклеточной концентрации Са2+, поступающего через потенциал-зависимые кальциевые каналы, приводит к меньшим нейрональным повреждениям (</w:t>
      </w:r>
      <w:r w:rsidRPr="009A490A">
        <w:t>Dubinsky J.M. et al. 1991</w:t>
      </w:r>
      <w:r w:rsidRPr="00253221">
        <w:t>). Насыщение нейронов ионами кальция служит триггером для мобилизации ионов из внутриклеточного депо, что также имеет значение в токсических эффектах глутамата (</w:t>
      </w:r>
      <w:r w:rsidRPr="009A490A">
        <w:t>Frandsen A. et al., 1992</w:t>
      </w:r>
      <w:r w:rsidRPr="00253221">
        <w:t xml:space="preserve">; </w:t>
      </w:r>
      <w:r w:rsidRPr="009A490A">
        <w:t>Lei S.Z. et al., 1992</w:t>
      </w:r>
      <w:r w:rsidRPr="00253221">
        <w:t>). Повышение концентрации внеклеточного К+ рассматривается многими авторами как один из важнейших механизмов вовлечения нейронов в эпилептический процесс (</w:t>
      </w:r>
      <w:r w:rsidRPr="009A490A">
        <w:t>Dichter M.A. et al., 1972</w:t>
      </w:r>
      <w:r w:rsidRPr="00253221">
        <w:t xml:space="preserve">; </w:t>
      </w:r>
      <w:r w:rsidRPr="009A490A">
        <w:t>Hillman H., 1970</w:t>
      </w:r>
      <w:r w:rsidRPr="00253221">
        <w:t>). Орошение срезов мозга средой, обогащенной ионами К+, как известно, является моделью эпилептогенеза in vitro. Так,</w:t>
      </w:r>
      <w:r>
        <w:t xml:space="preserve"> </w:t>
      </w:r>
      <w:r w:rsidRPr="00253221">
        <w:t>в поле СА1 гиппокампа повышение К+ индуцирует спонтанные электрофизиологические судороги с тонической и клонической фазами, характерными для фокальной эпилепсии (</w:t>
      </w:r>
      <w:r w:rsidRPr="009A490A">
        <w:t>Traynelis S.F., Dingledine R., 1988</w:t>
      </w:r>
      <w:r w:rsidRPr="00253221">
        <w:t xml:space="preserve">). </w:t>
      </w:r>
    </w:p>
    <w:p w:rsidR="000A416C" w:rsidRPr="00253221" w:rsidRDefault="000A416C" w:rsidP="000A416C">
      <w:pPr>
        <w:spacing w:before="120"/>
        <w:ind w:firstLine="567"/>
        <w:jc w:val="both"/>
      </w:pPr>
      <w:r w:rsidRPr="00253221">
        <w:t>Дополнительным результатом активации NMDA-рецепторов является внутриклеточная продукция активных форм кислорода, прежде всего супероксид-аниона и гидроксид-радикала. При дефиците аргинина, субстрата нитроксидсинтазы, также может образовываться</w:t>
      </w:r>
      <w:r>
        <w:t xml:space="preserve"> </w:t>
      </w:r>
      <w:r w:rsidRPr="00253221">
        <w:t>супероксид-анион. В условиях избыточного образования различных радикалов возможно взаимодействие вторичного мессенджера – оксида азота и супероксида с образованием пероксинитрита, обладающего исключительно высоким окислительным потенциалом (</w:t>
      </w:r>
      <w:r w:rsidRPr="009A490A">
        <w:t>Ha H.C., Snyder S.H., 2000</w:t>
      </w:r>
      <w:r w:rsidRPr="00253221">
        <w:t>).</w:t>
      </w:r>
    </w:p>
    <w:p w:rsidR="000A416C" w:rsidRPr="00253221" w:rsidRDefault="000A416C" w:rsidP="000A416C">
      <w:pPr>
        <w:spacing w:before="120"/>
        <w:ind w:firstLine="567"/>
        <w:jc w:val="both"/>
      </w:pPr>
      <w:r w:rsidRPr="00253221">
        <w:t>Таким образом, гиперактивация NMDA-рецепторов, несомненно, вносит определенный вклад в судорожную активность и связанную с ней гибель нейронов, что также подтверждается большим количеством экспериментальных данных о выраженном противосудорожном эффекте антагонистов NMDA-рецепторов, проявляющемся на различных моделях судорог. Так, существуют указания на усиление антагонистами NMDA-рецепторов лечебного эффекта бензодиазепинов и барбитуратов при данных состояниях (</w:t>
      </w:r>
      <w:r w:rsidRPr="009A490A">
        <w:t>Федонюк В.П. и соавт., 2001</w:t>
      </w:r>
      <w:r w:rsidRPr="00253221">
        <w:t xml:space="preserve">). </w:t>
      </w:r>
    </w:p>
    <w:p w:rsidR="000A416C" w:rsidRPr="00253221" w:rsidRDefault="000A416C" w:rsidP="000A416C">
      <w:pPr>
        <w:spacing w:before="120"/>
        <w:ind w:firstLine="567"/>
        <w:jc w:val="both"/>
      </w:pPr>
      <w:r w:rsidRPr="00253221">
        <w:t xml:space="preserve">Глутамат играет важную роль в процессах дифференцировки, миграции и жизнеспособности нейронов, в основном, через усиление входящего тока Ca++ </w:t>
      </w:r>
      <w:r w:rsidRPr="009A490A">
        <w:t>(Hack and Balazs 1994</w:t>
      </w:r>
      <w:r w:rsidRPr="00253221">
        <w:t xml:space="preserve"> , </w:t>
      </w:r>
      <w:r w:rsidRPr="009A490A">
        <w:t>Yano et al. 1998</w:t>
      </w:r>
      <w:r w:rsidRPr="00253221">
        <w:t xml:space="preserve"> ). </w:t>
      </w:r>
    </w:p>
    <w:p w:rsidR="000A416C" w:rsidRPr="00253221" w:rsidRDefault="000A416C" w:rsidP="000A416C">
      <w:pPr>
        <w:spacing w:before="120"/>
        <w:ind w:firstLine="567"/>
        <w:jc w:val="both"/>
      </w:pPr>
      <w:r w:rsidRPr="00253221">
        <w:t>Блокада НМДА рецепторов в пренатальный период [дизоцилпином (MK-801), фенциклидином, этанолом] может вызыветь апоптоз в уязвимых нейронах (селективная уязвимость, зависящая от стадии развития) (</w:t>
      </w:r>
      <w:r w:rsidRPr="009A490A">
        <w:t>Ikonomidou et al. 1999</w:t>
      </w:r>
      <w:r w:rsidRPr="00253221">
        <w:t xml:space="preserve"> ).</w:t>
      </w:r>
    </w:p>
    <w:p w:rsidR="000A416C" w:rsidRPr="00253221" w:rsidRDefault="000A416C" w:rsidP="000A416C">
      <w:pPr>
        <w:spacing w:before="120"/>
        <w:ind w:firstLine="567"/>
        <w:jc w:val="both"/>
      </w:pPr>
      <w:r w:rsidRPr="00253221">
        <w:t>Перевод:</w:t>
      </w:r>
      <w:r>
        <w:t xml:space="preserve"> </w:t>
      </w:r>
      <w:r w:rsidRPr="00253221">
        <w:t>Иванов И.М.</w:t>
      </w:r>
    </w:p>
    <w:p w:rsidR="000A416C" w:rsidRPr="009A490A" w:rsidRDefault="000A416C" w:rsidP="000A416C">
      <w:pPr>
        <w:spacing w:before="120"/>
        <w:jc w:val="center"/>
        <w:rPr>
          <w:b/>
          <w:bCs/>
          <w:sz w:val="28"/>
          <w:szCs w:val="28"/>
        </w:rPr>
      </w:pPr>
      <w:r w:rsidRPr="009A490A">
        <w:rPr>
          <w:b/>
          <w:bCs/>
          <w:sz w:val="28"/>
          <w:szCs w:val="28"/>
        </w:rPr>
        <w:t>Список литературы</w:t>
      </w:r>
    </w:p>
    <w:p w:rsidR="000A416C" w:rsidRDefault="000A416C" w:rsidP="000A416C">
      <w:pPr>
        <w:spacing w:before="120"/>
        <w:ind w:firstLine="567"/>
        <w:jc w:val="both"/>
      </w:pPr>
      <w:r w:rsidRPr="00253221">
        <w:t xml:space="preserve">Для подготовки данной работы были использованы материалы с сайта </w:t>
      </w:r>
      <w:hyperlink r:id="rId4" w:history="1">
        <w:r w:rsidRPr="00B20CF7">
          <w:rPr>
            <w:rStyle w:val="a3"/>
          </w:rPr>
          <w:t>http://www.medlinks.ru/</w:t>
        </w:r>
      </w:hyperlink>
    </w:p>
    <w:p w:rsidR="0050390D" w:rsidRDefault="0050390D"/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16C"/>
    <w:rsid w:val="000A416C"/>
    <w:rsid w:val="00253221"/>
    <w:rsid w:val="003E2EE0"/>
    <w:rsid w:val="0050390D"/>
    <w:rsid w:val="009A490A"/>
    <w:rsid w:val="00B20CF7"/>
    <w:rsid w:val="00F1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0D3E7EA-87DE-4854-9E4A-79ED881F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16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A41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dlin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1053</Words>
  <Characters>6006</Characters>
  <Application>Microsoft Office Word</Application>
  <DocSecurity>0</DocSecurity>
  <Lines>50</Lines>
  <Paragraphs>14</Paragraphs>
  <ScaleCrop>false</ScaleCrop>
  <Company>Home</Company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NMDA-рецепторы</dc:title>
  <dc:subject/>
  <dc:creator>Alena</dc:creator>
  <cp:keywords/>
  <dc:description/>
  <cp:lastModifiedBy>Igor</cp:lastModifiedBy>
  <cp:revision>3</cp:revision>
  <dcterms:created xsi:type="dcterms:W3CDTF">2024-10-08T17:28:00Z</dcterms:created>
  <dcterms:modified xsi:type="dcterms:W3CDTF">2024-10-08T17:28:00Z</dcterms:modified>
</cp:coreProperties>
</file>